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D6" w:rsidRDefault="00753ED6" w:rsidP="00847331">
      <w:pPr>
        <w:rPr>
          <w:noProof/>
          <w:lang w:eastAsia="it-IT"/>
        </w:rPr>
      </w:pPr>
    </w:p>
    <w:p w:rsidR="00753ED6" w:rsidRDefault="00753ED6" w:rsidP="00847331">
      <w:pPr>
        <w:rPr>
          <w:noProof/>
          <w:lang w:eastAsia="it-IT"/>
        </w:rPr>
      </w:pPr>
    </w:p>
    <w:p w:rsidR="00753ED6" w:rsidRDefault="00753ED6" w:rsidP="00847331">
      <w:pPr>
        <w:rPr>
          <w:noProof/>
          <w:lang w:eastAsia="it-IT"/>
        </w:rPr>
      </w:pPr>
    </w:p>
    <w:p w:rsidR="00753ED6" w:rsidRDefault="00753ED6" w:rsidP="00847331">
      <w:pPr>
        <w:rPr>
          <w:noProof/>
          <w:lang w:eastAsia="it-IT"/>
        </w:rPr>
      </w:pPr>
    </w:p>
    <w:p w:rsidR="00A52BDB" w:rsidRPr="00A52BDB" w:rsidRDefault="00A52BDB" w:rsidP="00A52BDB">
      <w:pPr>
        <w:rPr>
          <w:lang w:val="en-US"/>
        </w:rPr>
      </w:pPr>
      <w:bookmarkStart w:id="0" w:name="_GoBack"/>
      <w:bookmarkEnd w:id="0"/>
    </w:p>
    <w:p w:rsidR="00A52BDB" w:rsidRDefault="00A52BDB" w:rsidP="00A52BDB">
      <w:pPr>
        <w:rPr>
          <w:lang w:val="en-US"/>
        </w:rPr>
      </w:pPr>
    </w:p>
    <w:p w:rsidR="00980BAF" w:rsidRDefault="00980BAF" w:rsidP="00A52BDB">
      <w:pPr>
        <w:rPr>
          <w:lang w:val="en-US"/>
        </w:rPr>
      </w:pPr>
    </w:p>
    <w:p w:rsidR="00980BAF" w:rsidRDefault="00980BAF" w:rsidP="00A52BDB">
      <w:pPr>
        <w:rPr>
          <w:lang w:val="en-US"/>
        </w:rPr>
      </w:pPr>
    </w:p>
    <w:p w:rsidR="00980BAF" w:rsidRDefault="00980BAF" w:rsidP="00A52BDB">
      <w:pPr>
        <w:rPr>
          <w:lang w:val="en-US"/>
        </w:rPr>
      </w:pPr>
    </w:p>
    <w:p w:rsidR="00980BAF" w:rsidRPr="00A52BDB" w:rsidRDefault="00980BAF" w:rsidP="00A52BDB">
      <w:pPr>
        <w:rPr>
          <w:lang w:val="en-US"/>
        </w:rPr>
      </w:pPr>
    </w:p>
    <w:p w:rsidR="00A52BDB" w:rsidRPr="00A52BDB" w:rsidRDefault="00A52BDB" w:rsidP="00A52BDB">
      <w:pPr>
        <w:rPr>
          <w:lang w:val="en-US"/>
        </w:rPr>
      </w:pPr>
    </w:p>
    <w:p w:rsidR="004E6461" w:rsidRDefault="004E6461" w:rsidP="004E6461">
      <w:pPr>
        <w:rPr>
          <w:noProof/>
          <w:lang w:eastAsia="it-IT"/>
        </w:rPr>
      </w:pPr>
    </w:p>
    <w:p w:rsidR="004E6461" w:rsidRDefault="004E6461" w:rsidP="004E6461">
      <w:pPr>
        <w:rPr>
          <w:noProof/>
          <w:lang w:eastAsia="it-IT"/>
        </w:rPr>
      </w:pPr>
    </w:p>
    <w:p w:rsidR="004E6461" w:rsidRDefault="004E6461" w:rsidP="004E6461">
      <w:pPr>
        <w:rPr>
          <w:noProof/>
          <w:lang w:eastAsia="it-IT"/>
        </w:rPr>
      </w:pPr>
    </w:p>
    <w:p w:rsidR="004E6461" w:rsidRPr="00FD54E8" w:rsidRDefault="004E6461" w:rsidP="004E6461">
      <w:pPr>
        <w:jc w:val="center"/>
        <w:rPr>
          <w:rFonts w:ascii="Helvetica" w:eastAsia="+mn-ea" w:hAnsi="Helvetica" w:cs="Helvetica"/>
          <w:b/>
          <w:bCs/>
          <w:color w:val="002060"/>
          <w:kern w:val="24"/>
          <w:sz w:val="52"/>
          <w:szCs w:val="40"/>
          <w:lang w:val="en-US" w:eastAsia="it-IT"/>
        </w:rPr>
      </w:pPr>
      <w:r w:rsidRPr="00FD54E8">
        <w:rPr>
          <w:rFonts w:ascii="Helvetica" w:eastAsia="+mn-ea" w:hAnsi="Helvetica" w:cs="Helvetica"/>
          <w:b/>
          <w:bCs/>
          <w:color w:val="002060"/>
          <w:kern w:val="24"/>
          <w:sz w:val="52"/>
          <w:szCs w:val="40"/>
          <w:lang w:val="en-US" w:eastAsia="it-IT"/>
        </w:rPr>
        <w:t xml:space="preserve">E.QU.A.L. </w:t>
      </w:r>
    </w:p>
    <w:p w:rsidR="004E6461" w:rsidRPr="00FD54E8" w:rsidRDefault="004E6461" w:rsidP="004E6461">
      <w:pPr>
        <w:jc w:val="center"/>
        <w:rPr>
          <w:rFonts w:ascii="Times New Roman" w:eastAsia="Times New Roman" w:hAnsi="Times New Roman" w:cs="Times New Roman"/>
          <w:color w:val="002060"/>
          <w:sz w:val="44"/>
          <w:szCs w:val="24"/>
          <w:lang w:val="en-US" w:eastAsia="it-IT"/>
        </w:rPr>
      </w:pPr>
    </w:p>
    <w:p w:rsidR="004E6461" w:rsidRPr="00FD54E8" w:rsidRDefault="004E6461" w:rsidP="004E6461">
      <w:pPr>
        <w:jc w:val="center"/>
        <w:rPr>
          <w:rFonts w:ascii="Helvetica" w:eastAsia="+mn-ea" w:hAnsi="Helvetica" w:cs="Helvetica"/>
          <w:b/>
          <w:bCs/>
          <w:i/>
          <w:color w:val="002060"/>
          <w:kern w:val="24"/>
          <w:sz w:val="40"/>
          <w:szCs w:val="36"/>
          <w:lang w:val="en-US" w:eastAsia="it-IT"/>
        </w:rPr>
      </w:pPr>
      <w:r w:rsidRPr="00FD54E8">
        <w:rPr>
          <w:rFonts w:ascii="Helvetica" w:eastAsia="+mn-ea" w:hAnsi="Helvetica" w:cs="Helvetica"/>
          <w:b/>
          <w:bCs/>
          <w:i/>
          <w:color w:val="002060"/>
          <w:kern w:val="24"/>
          <w:sz w:val="40"/>
          <w:szCs w:val="36"/>
          <w:lang w:val="en-US" w:eastAsia="it-IT"/>
        </w:rPr>
        <w:t xml:space="preserve">Enhancing Qualification of Adult Learners </w:t>
      </w:r>
    </w:p>
    <w:p w:rsidR="004E6461" w:rsidRPr="00FD54E8" w:rsidRDefault="004E6461" w:rsidP="004E6461">
      <w:pPr>
        <w:jc w:val="center"/>
        <w:rPr>
          <w:rFonts w:ascii="Helvetica" w:eastAsia="+mn-ea" w:hAnsi="Helvetica" w:cs="Helvetica"/>
          <w:b/>
          <w:bCs/>
          <w:i/>
          <w:color w:val="002060"/>
          <w:kern w:val="24"/>
          <w:sz w:val="40"/>
          <w:szCs w:val="36"/>
          <w:lang w:val="en-US" w:eastAsia="it-IT"/>
        </w:rPr>
      </w:pPr>
      <w:r w:rsidRPr="00FD54E8">
        <w:rPr>
          <w:rFonts w:ascii="Helvetica" w:eastAsia="+mn-ea" w:hAnsi="Helvetica" w:cs="Helvetica"/>
          <w:b/>
          <w:bCs/>
          <w:i/>
          <w:color w:val="002060"/>
          <w:kern w:val="24"/>
          <w:sz w:val="40"/>
          <w:szCs w:val="36"/>
          <w:lang w:val="en-US" w:eastAsia="it-IT"/>
        </w:rPr>
        <w:t>through the implementation of Upskilling pathways</w:t>
      </w:r>
    </w:p>
    <w:p w:rsidR="004E6461" w:rsidRPr="00FD54E8" w:rsidRDefault="004E6461" w:rsidP="004E6461">
      <w:pPr>
        <w:jc w:val="center"/>
        <w:rPr>
          <w:rFonts w:ascii="Times New Roman" w:eastAsia="Times New Roman" w:hAnsi="Times New Roman" w:cs="Times New Roman"/>
          <w:color w:val="002060"/>
          <w:sz w:val="44"/>
          <w:szCs w:val="24"/>
          <w:lang w:val="en-US" w:eastAsia="it-IT"/>
        </w:rPr>
      </w:pPr>
    </w:p>
    <w:p w:rsidR="004E6461" w:rsidRPr="00FD54E8" w:rsidRDefault="004E6461" w:rsidP="004E6461">
      <w:pPr>
        <w:spacing w:after="200" w:line="276" w:lineRule="auto"/>
        <w:jc w:val="center"/>
        <w:rPr>
          <w:rFonts w:ascii="Calibri" w:eastAsia="Calibri" w:hAnsi="Calibri" w:cs="Times New Roman"/>
          <w:color w:val="002060"/>
          <w:lang w:val="en-US" w:eastAsia="it-IT"/>
        </w:rPr>
      </w:pPr>
      <w:r w:rsidRPr="00FD54E8">
        <w:rPr>
          <w:rFonts w:ascii="Calibri" w:eastAsia="Calibri" w:hAnsi="Calibri" w:cs="Times New Roman"/>
          <w:color w:val="002060"/>
          <w:lang w:val="en-US" w:eastAsia="it-IT"/>
        </w:rPr>
        <w:t>Agreement N. VS/2018/0016</w:t>
      </w:r>
    </w:p>
    <w:p w:rsidR="004E6461" w:rsidRPr="00FD54E8" w:rsidRDefault="004E6461" w:rsidP="004E6461">
      <w:pPr>
        <w:suppressAutoHyphens/>
        <w:jc w:val="center"/>
        <w:outlineLvl w:val="0"/>
        <w:rPr>
          <w:rFonts w:ascii="Times New Roman" w:eastAsia="Times New Roman" w:hAnsi="Times New Roman" w:cs="Times New Roman"/>
          <w:sz w:val="56"/>
          <w:szCs w:val="56"/>
          <w:lang w:val="en-GB"/>
        </w:rPr>
      </w:pPr>
    </w:p>
    <w:p w:rsidR="004E6461" w:rsidRPr="00FD54E8" w:rsidRDefault="004E6461" w:rsidP="004E6461">
      <w:pPr>
        <w:suppressAutoHyphens/>
        <w:jc w:val="center"/>
        <w:outlineLvl w:val="0"/>
        <w:rPr>
          <w:rFonts w:ascii="Times New Roman" w:eastAsia="Times New Roman" w:hAnsi="Times New Roman" w:cs="Times New Roman"/>
          <w:sz w:val="56"/>
          <w:szCs w:val="56"/>
          <w:lang w:val="en-GB"/>
        </w:rPr>
      </w:pPr>
    </w:p>
    <w:p w:rsidR="004E6461" w:rsidRPr="00FD54E8" w:rsidRDefault="004E6461" w:rsidP="004E6461">
      <w:pPr>
        <w:jc w:val="center"/>
        <w:rPr>
          <w:rFonts w:ascii="Helvetica" w:eastAsia="+mn-ea" w:hAnsi="Helvetica" w:cs="Helvetica"/>
          <w:b/>
          <w:bCs/>
          <w:color w:val="002060"/>
          <w:kern w:val="24"/>
          <w:sz w:val="72"/>
          <w:szCs w:val="36"/>
          <w:lang w:val="en-US" w:eastAsia="it-IT"/>
        </w:rPr>
      </w:pPr>
      <w:r>
        <w:rPr>
          <w:rFonts w:ascii="Helvetica" w:eastAsia="+mn-ea" w:hAnsi="Helvetica" w:cs="Helvetica"/>
          <w:b/>
          <w:bCs/>
          <w:color w:val="002060"/>
          <w:kern w:val="24"/>
          <w:sz w:val="72"/>
          <w:szCs w:val="36"/>
          <w:lang w:val="en-US" w:eastAsia="it-IT"/>
        </w:rPr>
        <w:t xml:space="preserve">Risk assessment </w:t>
      </w:r>
      <w:r>
        <w:rPr>
          <w:rFonts w:ascii="Helvetica" w:eastAsia="+mn-ea" w:hAnsi="Helvetica" w:cs="Helvetica"/>
          <w:b/>
          <w:bCs/>
          <w:color w:val="002060"/>
          <w:kern w:val="24"/>
          <w:sz w:val="72"/>
          <w:szCs w:val="36"/>
          <w:lang w:val="en-US" w:eastAsia="it-IT"/>
        </w:rPr>
        <w:t>Chart</w:t>
      </w:r>
    </w:p>
    <w:p w:rsidR="004E6461" w:rsidRPr="00FD54E8" w:rsidRDefault="004E6461" w:rsidP="004E6461">
      <w:pPr>
        <w:jc w:val="center"/>
        <w:rPr>
          <w:rFonts w:ascii="Helvetica" w:eastAsia="+mn-ea" w:hAnsi="Helvetica" w:cs="Helvetica"/>
          <w:b/>
          <w:bCs/>
          <w:color w:val="002060"/>
          <w:kern w:val="24"/>
          <w:sz w:val="40"/>
          <w:szCs w:val="36"/>
          <w:lang w:val="en-US" w:eastAsia="it-IT"/>
        </w:rPr>
      </w:pPr>
      <w:r w:rsidRPr="00FD54E8">
        <w:rPr>
          <w:rFonts w:ascii="Helvetica" w:eastAsia="+mn-ea" w:hAnsi="Helvetica" w:cs="Helvetica"/>
          <w:b/>
          <w:bCs/>
          <w:color w:val="002060"/>
          <w:kern w:val="24"/>
          <w:sz w:val="40"/>
          <w:szCs w:val="36"/>
          <w:lang w:val="en-US" w:eastAsia="it-IT"/>
        </w:rPr>
        <w:t>(WP 5)</w:t>
      </w:r>
    </w:p>
    <w:p w:rsidR="004E6461" w:rsidRPr="00FD54E8" w:rsidRDefault="004E6461" w:rsidP="004E6461">
      <w:pPr>
        <w:jc w:val="center"/>
        <w:rPr>
          <w:rFonts w:ascii="Helvetica" w:eastAsia="+mn-ea" w:hAnsi="Helvetica" w:cs="Helvetica"/>
          <w:b/>
          <w:bCs/>
          <w:color w:val="002060"/>
          <w:kern w:val="24"/>
          <w:sz w:val="40"/>
          <w:szCs w:val="36"/>
          <w:lang w:val="en-US" w:eastAsia="it-IT"/>
        </w:rPr>
      </w:pPr>
    </w:p>
    <w:p w:rsidR="004E6461" w:rsidRPr="00FD54E8" w:rsidRDefault="004E6461" w:rsidP="004E6461">
      <w:pPr>
        <w:jc w:val="center"/>
        <w:rPr>
          <w:rFonts w:ascii="Helvetica" w:eastAsia="+mn-ea" w:hAnsi="Helvetica" w:cs="Helvetica"/>
          <w:b/>
          <w:bCs/>
          <w:color w:val="002060"/>
          <w:kern w:val="24"/>
          <w:sz w:val="24"/>
          <w:szCs w:val="36"/>
          <w:lang w:val="en-US" w:eastAsia="it-IT"/>
        </w:rPr>
      </w:pPr>
      <w:r w:rsidRPr="00FD54E8">
        <w:rPr>
          <w:rFonts w:ascii="Helvetica" w:eastAsia="+mn-ea" w:hAnsi="Helvetica" w:cs="Helvetica"/>
          <w:b/>
          <w:bCs/>
          <w:color w:val="002060"/>
          <w:kern w:val="24"/>
          <w:sz w:val="24"/>
          <w:szCs w:val="36"/>
          <w:lang w:val="en-US" w:eastAsia="it-IT"/>
        </w:rPr>
        <w:t>June 2018 - rev.0</w:t>
      </w:r>
    </w:p>
    <w:p w:rsidR="004E6461" w:rsidRPr="00FD54E8" w:rsidRDefault="004E6461" w:rsidP="004E6461">
      <w:pPr>
        <w:jc w:val="center"/>
        <w:rPr>
          <w:rFonts w:ascii="Helvetica" w:eastAsia="+mn-ea" w:hAnsi="Helvetica" w:cs="Helvetica"/>
          <w:b/>
          <w:bCs/>
          <w:color w:val="002060"/>
          <w:kern w:val="24"/>
          <w:sz w:val="40"/>
          <w:szCs w:val="36"/>
          <w:lang w:val="en-US" w:eastAsia="it-IT"/>
        </w:rPr>
      </w:pPr>
    </w:p>
    <w:p w:rsidR="004E6461" w:rsidRPr="00FD54E8" w:rsidRDefault="004E6461" w:rsidP="004E6461">
      <w:pPr>
        <w:jc w:val="center"/>
        <w:rPr>
          <w:rFonts w:ascii="Helvetica" w:eastAsia="+mn-ea" w:hAnsi="Helvetica" w:cs="Helvetica"/>
          <w:b/>
          <w:bCs/>
          <w:color w:val="002060"/>
          <w:kern w:val="24"/>
          <w:sz w:val="40"/>
          <w:szCs w:val="36"/>
          <w:lang w:val="en-US" w:eastAsia="it-IT"/>
        </w:rPr>
      </w:pPr>
    </w:p>
    <w:p w:rsidR="004E6461" w:rsidRPr="00FD54E8" w:rsidRDefault="004E6461" w:rsidP="004E6461">
      <w:pPr>
        <w:jc w:val="right"/>
        <w:rPr>
          <w:rFonts w:ascii="Helvetica" w:eastAsia="+mn-ea" w:hAnsi="Helvetica" w:cs="Helvetica"/>
          <w:b/>
          <w:bCs/>
          <w:color w:val="002060"/>
          <w:kern w:val="24"/>
          <w:sz w:val="18"/>
          <w:szCs w:val="36"/>
          <w:lang w:val="en-US" w:eastAsia="it-IT"/>
        </w:rPr>
      </w:pPr>
      <w:r w:rsidRPr="00FD54E8">
        <w:rPr>
          <w:rFonts w:ascii="Helvetica" w:eastAsia="+mn-ea" w:hAnsi="Helvetica" w:cs="Helvetica"/>
          <w:b/>
          <w:bCs/>
          <w:color w:val="002060"/>
          <w:kern w:val="24"/>
          <w:sz w:val="18"/>
          <w:szCs w:val="36"/>
          <w:lang w:val="en-US" w:eastAsia="it-IT"/>
        </w:rPr>
        <w:t>Confidential Document (reserved to project partners)</w:t>
      </w:r>
    </w:p>
    <w:p w:rsidR="004E6461" w:rsidRDefault="004E6461" w:rsidP="004E6461">
      <w:pPr>
        <w:rPr>
          <w:lang w:val="en-US"/>
        </w:rPr>
      </w:pPr>
    </w:p>
    <w:p w:rsidR="004E6461" w:rsidRDefault="004E6461" w:rsidP="004E6461">
      <w:pPr>
        <w:rPr>
          <w:lang w:val="en-US"/>
        </w:rPr>
      </w:pPr>
    </w:p>
    <w:p w:rsidR="004E6461" w:rsidRPr="00911AC0" w:rsidRDefault="004E6461" w:rsidP="004E6461">
      <w:pPr>
        <w:rPr>
          <w:lang w:val="en-US"/>
        </w:rPr>
      </w:pPr>
    </w:p>
    <w:p w:rsidR="004E6461" w:rsidRDefault="004E6461" w:rsidP="004E6461">
      <w:pPr>
        <w:jc w:val="both"/>
        <w:outlineLvl w:val="1"/>
        <w:rPr>
          <w:rFonts w:eastAsia="Times New Roman" w:cstheme="minorHAnsi"/>
          <w:b/>
          <w:bCs/>
          <w:color w:val="333333"/>
          <w:kern w:val="36"/>
          <w:sz w:val="24"/>
          <w:szCs w:val="24"/>
          <w:lang w:val="en-US" w:eastAsia="it-IT"/>
        </w:rPr>
      </w:pPr>
    </w:p>
    <w:p w:rsidR="004E6461" w:rsidRDefault="004E6461" w:rsidP="004E6461">
      <w:pPr>
        <w:jc w:val="both"/>
        <w:outlineLvl w:val="1"/>
        <w:rPr>
          <w:rFonts w:eastAsia="Times New Roman" w:cstheme="minorHAnsi"/>
          <w:b/>
          <w:bCs/>
          <w:color w:val="333333"/>
          <w:kern w:val="36"/>
          <w:sz w:val="24"/>
          <w:szCs w:val="24"/>
          <w:lang w:val="en-US" w:eastAsia="it-IT"/>
        </w:rPr>
      </w:pPr>
    </w:p>
    <w:p w:rsidR="004E6461" w:rsidRDefault="004E6461" w:rsidP="004E6461">
      <w:pPr>
        <w:jc w:val="both"/>
        <w:outlineLvl w:val="1"/>
        <w:rPr>
          <w:rFonts w:eastAsia="Times New Roman" w:cstheme="minorHAnsi"/>
          <w:b/>
          <w:bCs/>
          <w:color w:val="333333"/>
          <w:kern w:val="36"/>
          <w:sz w:val="24"/>
          <w:szCs w:val="24"/>
          <w:lang w:val="en-US" w:eastAsia="it-IT"/>
        </w:rPr>
      </w:pPr>
    </w:p>
    <w:p w:rsidR="00980BAF" w:rsidRPr="004E6461" w:rsidRDefault="00980BAF" w:rsidP="005F0CF9">
      <w:pPr>
        <w:jc w:val="center"/>
        <w:rPr>
          <w:lang w:val="en-US"/>
        </w:rPr>
      </w:pPr>
    </w:p>
    <w:p w:rsidR="00980BAF" w:rsidRPr="004E6461" w:rsidRDefault="00980BAF" w:rsidP="00A52BDB">
      <w:pPr>
        <w:rPr>
          <w:lang w:val="en-US"/>
        </w:rPr>
      </w:pPr>
    </w:p>
    <w:p w:rsidR="00980BAF" w:rsidRDefault="00980BAF" w:rsidP="00A52BDB">
      <w:pPr>
        <w:rPr>
          <w:lang w:val="en-US"/>
        </w:rPr>
      </w:pPr>
    </w:p>
    <w:p w:rsidR="004E6461" w:rsidRDefault="004E6461" w:rsidP="00A52BDB">
      <w:pPr>
        <w:rPr>
          <w:lang w:val="en-US"/>
        </w:rPr>
      </w:pPr>
    </w:p>
    <w:p w:rsidR="008E5DE1" w:rsidRDefault="008E5DE1" w:rsidP="00A52BDB">
      <w:pPr>
        <w:rPr>
          <w:lang w:val="en-US"/>
        </w:rPr>
      </w:pPr>
    </w:p>
    <w:p w:rsidR="008E5DE1" w:rsidRDefault="008E5DE1" w:rsidP="00A52BDB">
      <w:pPr>
        <w:rPr>
          <w:lang w:val="en-US"/>
        </w:rPr>
      </w:pPr>
    </w:p>
    <w:sdt>
      <w:sdtPr>
        <w:id w:val="-1254970253"/>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8E5DE1" w:rsidRDefault="008E5DE1" w:rsidP="008E5DE1">
          <w:pPr>
            <w:pStyle w:val="Titolosommario"/>
            <w:jc w:val="center"/>
          </w:pPr>
          <w:r>
            <w:t>Sommario</w:t>
          </w:r>
        </w:p>
        <w:p w:rsidR="008E5DE1" w:rsidRPr="008E5DE1" w:rsidRDefault="008E5DE1" w:rsidP="008E5DE1">
          <w:pPr>
            <w:rPr>
              <w:lang w:eastAsia="it-IT"/>
            </w:rPr>
          </w:pPr>
        </w:p>
        <w:p w:rsidR="00860B72" w:rsidRDefault="008E5DE1">
          <w:pPr>
            <w:pStyle w:val="Sommario1"/>
            <w:tabs>
              <w:tab w:val="right" w:leader="dot" w:pos="10456"/>
            </w:tabs>
            <w:rPr>
              <w:rFonts w:eastAsiaTheme="minorEastAsia"/>
              <w:noProof/>
              <w:lang w:eastAsia="it-IT"/>
            </w:rPr>
          </w:pPr>
          <w:r>
            <w:fldChar w:fldCharType="begin"/>
          </w:r>
          <w:r>
            <w:instrText xml:space="preserve"> TOC \o "1-3" \h \z \u </w:instrText>
          </w:r>
          <w:r>
            <w:fldChar w:fldCharType="separate"/>
          </w:r>
          <w:hyperlink w:anchor="_Toc519072294" w:history="1">
            <w:r w:rsidR="00860B72" w:rsidRPr="00946B86">
              <w:rPr>
                <w:rStyle w:val="Collegamentoipertestuale"/>
                <w:noProof/>
              </w:rPr>
              <w:t>Introduzione</w:t>
            </w:r>
            <w:r w:rsidR="00860B72">
              <w:rPr>
                <w:noProof/>
                <w:webHidden/>
              </w:rPr>
              <w:tab/>
            </w:r>
            <w:r w:rsidR="00860B72">
              <w:rPr>
                <w:noProof/>
                <w:webHidden/>
              </w:rPr>
              <w:fldChar w:fldCharType="begin"/>
            </w:r>
            <w:r w:rsidR="00860B72">
              <w:rPr>
                <w:noProof/>
                <w:webHidden/>
              </w:rPr>
              <w:instrText xml:space="preserve"> PAGEREF _Toc519072294 \h </w:instrText>
            </w:r>
            <w:r w:rsidR="00860B72">
              <w:rPr>
                <w:noProof/>
                <w:webHidden/>
              </w:rPr>
            </w:r>
            <w:r w:rsidR="00860B72">
              <w:rPr>
                <w:noProof/>
                <w:webHidden/>
              </w:rPr>
              <w:fldChar w:fldCharType="separate"/>
            </w:r>
            <w:r w:rsidR="00860B72">
              <w:rPr>
                <w:noProof/>
                <w:webHidden/>
              </w:rPr>
              <w:t>3</w:t>
            </w:r>
            <w:r w:rsidR="00860B72">
              <w:rPr>
                <w:noProof/>
                <w:webHidden/>
              </w:rPr>
              <w:fldChar w:fldCharType="end"/>
            </w:r>
          </w:hyperlink>
        </w:p>
        <w:p w:rsidR="00860B72" w:rsidRDefault="00860B72">
          <w:pPr>
            <w:pStyle w:val="Sommario1"/>
            <w:tabs>
              <w:tab w:val="right" w:leader="dot" w:pos="10456"/>
            </w:tabs>
            <w:rPr>
              <w:rFonts w:eastAsiaTheme="minorEastAsia"/>
              <w:noProof/>
              <w:lang w:eastAsia="it-IT"/>
            </w:rPr>
          </w:pPr>
          <w:hyperlink w:anchor="_Toc519072295" w:history="1">
            <w:r w:rsidRPr="00946B86">
              <w:rPr>
                <w:rStyle w:val="Collegamentoipertestuale"/>
                <w:noProof/>
              </w:rPr>
              <w:t xml:space="preserve">2. La </w:t>
            </w:r>
            <w:r w:rsidRPr="00946B86">
              <w:rPr>
                <w:rStyle w:val="Collegamentoipertestuale"/>
                <w:i/>
                <w:noProof/>
              </w:rPr>
              <w:t>Work Breckdown Structure</w:t>
            </w:r>
            <w:r w:rsidRPr="00946B86">
              <w:rPr>
                <w:rStyle w:val="Collegamentoipertestuale"/>
                <w:noProof/>
              </w:rPr>
              <w:t xml:space="preserve"> del Progetto E.QU.A.L.</w:t>
            </w:r>
            <w:r>
              <w:rPr>
                <w:noProof/>
                <w:webHidden/>
              </w:rPr>
              <w:tab/>
            </w:r>
            <w:r>
              <w:rPr>
                <w:noProof/>
                <w:webHidden/>
              </w:rPr>
              <w:fldChar w:fldCharType="begin"/>
            </w:r>
            <w:r>
              <w:rPr>
                <w:noProof/>
                <w:webHidden/>
              </w:rPr>
              <w:instrText xml:space="preserve"> PAGEREF _Toc519072295 \h </w:instrText>
            </w:r>
            <w:r>
              <w:rPr>
                <w:noProof/>
                <w:webHidden/>
              </w:rPr>
            </w:r>
            <w:r>
              <w:rPr>
                <w:noProof/>
                <w:webHidden/>
              </w:rPr>
              <w:fldChar w:fldCharType="separate"/>
            </w:r>
            <w:r>
              <w:rPr>
                <w:noProof/>
                <w:webHidden/>
              </w:rPr>
              <w:t>4</w:t>
            </w:r>
            <w:r>
              <w:rPr>
                <w:noProof/>
                <w:webHidden/>
              </w:rPr>
              <w:fldChar w:fldCharType="end"/>
            </w:r>
          </w:hyperlink>
        </w:p>
        <w:p w:rsidR="00860B72" w:rsidRDefault="00860B72">
          <w:pPr>
            <w:pStyle w:val="Sommario1"/>
            <w:tabs>
              <w:tab w:val="right" w:leader="dot" w:pos="10456"/>
            </w:tabs>
            <w:rPr>
              <w:rFonts w:eastAsiaTheme="minorEastAsia"/>
              <w:noProof/>
              <w:lang w:eastAsia="it-IT"/>
            </w:rPr>
          </w:pPr>
          <w:hyperlink w:anchor="_Toc519072296" w:history="1">
            <w:r w:rsidRPr="00946B86">
              <w:rPr>
                <w:rStyle w:val="Collegamentoipertestuale"/>
                <w:noProof/>
              </w:rPr>
              <w:t>3. RISK ASSESSMENT CHART  DEL PROGETTO E.QU.A.L.</w:t>
            </w:r>
            <w:r>
              <w:rPr>
                <w:noProof/>
                <w:webHidden/>
              </w:rPr>
              <w:tab/>
            </w:r>
            <w:r>
              <w:rPr>
                <w:noProof/>
                <w:webHidden/>
              </w:rPr>
              <w:fldChar w:fldCharType="begin"/>
            </w:r>
            <w:r>
              <w:rPr>
                <w:noProof/>
                <w:webHidden/>
              </w:rPr>
              <w:instrText xml:space="preserve"> PAGEREF _Toc519072296 \h </w:instrText>
            </w:r>
            <w:r>
              <w:rPr>
                <w:noProof/>
                <w:webHidden/>
              </w:rPr>
            </w:r>
            <w:r>
              <w:rPr>
                <w:noProof/>
                <w:webHidden/>
              </w:rPr>
              <w:fldChar w:fldCharType="separate"/>
            </w:r>
            <w:r>
              <w:rPr>
                <w:noProof/>
                <w:webHidden/>
              </w:rPr>
              <w:t>7</w:t>
            </w:r>
            <w:r>
              <w:rPr>
                <w:noProof/>
                <w:webHidden/>
              </w:rPr>
              <w:fldChar w:fldCharType="end"/>
            </w:r>
          </w:hyperlink>
        </w:p>
        <w:p w:rsidR="008E5DE1" w:rsidRDefault="008E5DE1">
          <w:r>
            <w:rPr>
              <w:b/>
              <w:bCs/>
            </w:rPr>
            <w:fldChar w:fldCharType="end"/>
          </w:r>
        </w:p>
      </w:sdtContent>
    </w:sdt>
    <w:p w:rsidR="004E6461" w:rsidRDefault="004E6461" w:rsidP="00A52BDB">
      <w:pPr>
        <w:rPr>
          <w:lang w:val="en-US"/>
        </w:rPr>
      </w:pPr>
    </w:p>
    <w:p w:rsidR="004E6461" w:rsidRDefault="004E6461" w:rsidP="00A52BDB">
      <w:pPr>
        <w:rPr>
          <w:lang w:val="en-US"/>
        </w:rPr>
      </w:pPr>
    </w:p>
    <w:p w:rsidR="004E6461" w:rsidRDefault="004E6461" w:rsidP="00A52BDB">
      <w:pPr>
        <w:rPr>
          <w:lang w:val="en-US"/>
        </w:rPr>
      </w:pPr>
    </w:p>
    <w:p w:rsidR="004E6461" w:rsidRDefault="004E6461" w:rsidP="00A52BDB">
      <w:pPr>
        <w:rPr>
          <w:lang w:val="en-US"/>
        </w:rPr>
      </w:pPr>
    </w:p>
    <w:p w:rsidR="004E6461" w:rsidRPr="004E6461" w:rsidRDefault="004E6461" w:rsidP="00A52BDB">
      <w:pPr>
        <w:rPr>
          <w:lang w:val="en-US"/>
        </w:rPr>
      </w:pPr>
    </w:p>
    <w:p w:rsidR="004E6461" w:rsidRDefault="004E6461">
      <w:pPr>
        <w:rPr>
          <w:lang w:val="en-US"/>
        </w:rPr>
      </w:pPr>
      <w:r>
        <w:rPr>
          <w:lang w:val="en-US"/>
        </w:rPr>
        <w:br w:type="page"/>
      </w:r>
    </w:p>
    <w:p w:rsidR="00980BAF" w:rsidRPr="005F0CF9" w:rsidRDefault="004E6461" w:rsidP="008E5DE1">
      <w:pPr>
        <w:pStyle w:val="Titolo1"/>
      </w:pPr>
      <w:bookmarkStart w:id="1" w:name="_Toc519072294"/>
      <w:r>
        <w:lastRenderedPageBreak/>
        <w:t>Introduzione</w:t>
      </w:r>
      <w:bookmarkEnd w:id="1"/>
    </w:p>
    <w:p w:rsidR="00980BAF" w:rsidRPr="00980BAF" w:rsidRDefault="00980BAF" w:rsidP="00980BAF"/>
    <w:p w:rsidR="00980BAF" w:rsidRPr="00980BAF" w:rsidRDefault="00980BAF" w:rsidP="005F0CF9">
      <w:pPr>
        <w:jc w:val="both"/>
      </w:pPr>
      <w:r w:rsidRPr="00980BAF">
        <w:t xml:space="preserve">La complessità della gestione di un progetto di durata </w:t>
      </w:r>
      <w:r w:rsidR="000532BE">
        <w:t>pluriennale</w:t>
      </w:r>
      <w:r w:rsidRPr="00980BAF">
        <w:t xml:space="preserve"> e che coinvolge una pluralità di attori nella realizzazione di un Piano di lavoro complesso e articolato come quello previsto nel progetto </w:t>
      </w:r>
      <w:r w:rsidR="008E5DE1">
        <w:t>E.QU.A.L.</w:t>
      </w:r>
      <w:r w:rsidRPr="00980BAF">
        <w:t xml:space="preserve"> giustifica ampiamente la  scelta di realizzare  una analisi del rischio prodromica all’elaborazione di un </w:t>
      </w:r>
      <w:proofErr w:type="spellStart"/>
      <w:r w:rsidRPr="00980BAF">
        <w:t>Quality</w:t>
      </w:r>
      <w:proofErr w:type="spellEnd"/>
      <w:r w:rsidRPr="00980BAF">
        <w:t xml:space="preserve"> Plan.</w:t>
      </w:r>
    </w:p>
    <w:p w:rsidR="00980BAF" w:rsidRPr="00980BAF" w:rsidRDefault="00980BAF" w:rsidP="005F0CF9">
      <w:pPr>
        <w:jc w:val="both"/>
      </w:pPr>
    </w:p>
    <w:p w:rsidR="00980BAF" w:rsidRPr="00980BAF" w:rsidRDefault="00980BAF" w:rsidP="005F0CF9">
      <w:pPr>
        <w:jc w:val="both"/>
      </w:pPr>
      <w:r w:rsidRPr="00980BAF">
        <w:t xml:space="preserve">Inoltre, un Piano di Qualità, completato da una corretta Analisi del Rischio, fornisce importanti input al monitoraggio, suggerendo ed evidenziando </w:t>
      </w:r>
      <w:proofErr w:type="spellStart"/>
      <w:r w:rsidRPr="00980BAF">
        <w:rPr>
          <w:i/>
        </w:rPr>
        <w:t>milestones</w:t>
      </w:r>
      <w:proofErr w:type="spellEnd"/>
      <w:r w:rsidRPr="00980BAF">
        <w:t xml:space="preserve"> e momenti critici sui quali concentrare attenzioni e misurazioni della performance. </w:t>
      </w:r>
    </w:p>
    <w:p w:rsidR="00980BAF" w:rsidRPr="00980BAF" w:rsidRDefault="00980BAF" w:rsidP="005F0CF9">
      <w:pPr>
        <w:jc w:val="both"/>
      </w:pPr>
    </w:p>
    <w:p w:rsidR="00980BAF" w:rsidRDefault="00980BAF" w:rsidP="005F0CF9">
      <w:pPr>
        <w:jc w:val="both"/>
        <w:rPr>
          <w:bCs/>
        </w:rPr>
      </w:pPr>
      <w:r w:rsidRPr="00980BAF">
        <w:rPr>
          <w:b/>
          <w:bCs/>
        </w:rPr>
        <w:t>Nella pagine seguenti</w:t>
      </w:r>
      <w:r w:rsidRPr="00980BAF">
        <w:rPr>
          <w:bCs/>
        </w:rPr>
        <w:t xml:space="preserve"> si presenta una sintesi del piano dei rischi, soggetto a periodici aggiornamenti (il primo è previsto alla scadenza della presentazione del Rapporto intermedio.</w:t>
      </w:r>
    </w:p>
    <w:p w:rsidR="00DC41A5" w:rsidRDefault="00DC41A5" w:rsidP="005F0CF9">
      <w:pPr>
        <w:jc w:val="both"/>
        <w:rPr>
          <w:bCs/>
        </w:rPr>
      </w:pPr>
    </w:p>
    <w:p w:rsidR="00DC41A5" w:rsidRPr="00980BAF" w:rsidRDefault="00DC41A5" w:rsidP="005F0CF9">
      <w:pPr>
        <w:jc w:val="both"/>
        <w:rPr>
          <w:bCs/>
        </w:rPr>
      </w:pPr>
    </w:p>
    <w:tbl>
      <w:tblPr>
        <w:tblStyle w:val="Grigliatabella"/>
        <w:tblW w:w="0" w:type="auto"/>
        <w:jc w:val="center"/>
        <w:tblLook w:val="04A0" w:firstRow="1" w:lastRow="0" w:firstColumn="1" w:lastColumn="0" w:noHBand="0" w:noVBand="1"/>
      </w:tblPr>
      <w:tblGrid>
        <w:gridCol w:w="9778"/>
      </w:tblGrid>
      <w:tr w:rsidR="00980BAF" w:rsidRPr="00980BAF" w:rsidTr="005F0CF9">
        <w:trPr>
          <w:jc w:val="center"/>
        </w:trPr>
        <w:tc>
          <w:tcPr>
            <w:tcW w:w="9778" w:type="dxa"/>
          </w:tcPr>
          <w:p w:rsidR="00980BAF" w:rsidRPr="00980BAF" w:rsidRDefault="00980BAF" w:rsidP="008E5DE1">
            <w:pPr>
              <w:jc w:val="both"/>
              <w:rPr>
                <w:b/>
                <w:bCs/>
              </w:rPr>
            </w:pPr>
            <w:proofErr w:type="spellStart"/>
            <w:r w:rsidRPr="00980BAF">
              <w:rPr>
                <w:b/>
                <w:bCs/>
              </w:rPr>
              <w:t>Risk</w:t>
            </w:r>
            <w:proofErr w:type="spellEnd"/>
            <w:r w:rsidRPr="00980BAF">
              <w:rPr>
                <w:b/>
                <w:bCs/>
              </w:rPr>
              <w:t xml:space="preserve"> </w:t>
            </w:r>
            <w:proofErr w:type="spellStart"/>
            <w:r w:rsidRPr="00980BAF">
              <w:rPr>
                <w:b/>
                <w:bCs/>
              </w:rPr>
              <w:t>Assessment</w:t>
            </w:r>
            <w:proofErr w:type="spellEnd"/>
            <w:r w:rsidRPr="00980BAF">
              <w:rPr>
                <w:b/>
                <w:bCs/>
              </w:rPr>
              <w:t>: concetti generali</w:t>
            </w:r>
          </w:p>
          <w:p w:rsidR="00980BAF" w:rsidRPr="00980BAF" w:rsidRDefault="00980BAF" w:rsidP="008E5DE1">
            <w:pPr>
              <w:jc w:val="both"/>
              <w:rPr>
                <w:b/>
                <w:bCs/>
              </w:rPr>
            </w:pPr>
            <w:r w:rsidRPr="00980BAF">
              <w:rPr>
                <w:b/>
                <w:bCs/>
              </w:rPr>
              <w:br/>
            </w:r>
            <w:r w:rsidRPr="00980BAF">
              <w:t>Il "</w:t>
            </w:r>
            <w:proofErr w:type="spellStart"/>
            <w:r w:rsidRPr="00980BAF">
              <w:t>Risk</w:t>
            </w:r>
            <w:proofErr w:type="spellEnd"/>
            <w:r w:rsidRPr="00980BAF">
              <w:t xml:space="preserve"> </w:t>
            </w:r>
            <w:proofErr w:type="spellStart"/>
            <w:r w:rsidRPr="00980BAF">
              <w:t>Assessment</w:t>
            </w:r>
            <w:proofErr w:type="spellEnd"/>
            <w:r w:rsidRPr="00980BAF">
              <w:t xml:space="preserve">" o "Analisi del Rischio" è una metodologia volta alla determinazione del rischio associato a determinati pericoli o sorgenti di rischio. In generale si può ricorrere alla metodologia del </w:t>
            </w:r>
            <w:proofErr w:type="spellStart"/>
            <w:r w:rsidRPr="00980BAF">
              <w:t>risk</w:t>
            </w:r>
            <w:proofErr w:type="spellEnd"/>
            <w:r w:rsidRPr="00980BAF">
              <w:t xml:space="preserve"> </w:t>
            </w:r>
            <w:proofErr w:type="spellStart"/>
            <w:r w:rsidRPr="00980BAF">
              <w:t>assessment</w:t>
            </w:r>
            <w:proofErr w:type="spellEnd"/>
            <w:r w:rsidRPr="00980BAF">
              <w:t xml:space="preserve"> quando si intenda valutare la pericolosità di un evento indesiderabile ai fini di definire la priorità o l'urgenza delle misure necessarie per tenerlo sotto controllo.</w:t>
            </w:r>
            <w:r w:rsidRPr="00980BAF">
              <w:rPr>
                <w:b/>
                <w:bCs/>
              </w:rPr>
              <w:t xml:space="preserve"> </w:t>
            </w:r>
          </w:p>
          <w:p w:rsidR="00980BAF" w:rsidRDefault="00980BAF" w:rsidP="008E5DE1">
            <w:pPr>
              <w:jc w:val="both"/>
              <w:rPr>
                <w:b/>
                <w:bCs/>
              </w:rPr>
            </w:pPr>
            <w:r w:rsidRPr="00980BAF">
              <w:br/>
              <w:t xml:space="preserve">La metodologia del </w:t>
            </w:r>
            <w:proofErr w:type="spellStart"/>
            <w:r w:rsidRPr="00980BAF">
              <w:t>Risk</w:t>
            </w:r>
            <w:proofErr w:type="spellEnd"/>
            <w:r w:rsidRPr="00980BAF">
              <w:t xml:space="preserve"> </w:t>
            </w:r>
            <w:proofErr w:type="spellStart"/>
            <w:r w:rsidRPr="00980BAF">
              <w:t>Assessment</w:t>
            </w:r>
            <w:proofErr w:type="spellEnd"/>
            <w:r w:rsidRPr="00980BAF">
              <w:t xml:space="preserve"> comunemente utilizzata può essere distinta nelle seguenti </w:t>
            </w:r>
            <w:r w:rsidR="00435307">
              <w:t>quattro</w:t>
            </w:r>
            <w:r w:rsidRPr="00980BAF">
              <w:t xml:space="preserve"> fasi:</w:t>
            </w:r>
            <w:r w:rsidRPr="00980BAF">
              <w:rPr>
                <w:b/>
                <w:bCs/>
              </w:rPr>
              <w:t xml:space="preserve"> </w:t>
            </w:r>
          </w:p>
          <w:p w:rsidR="00435307" w:rsidRPr="00980BAF" w:rsidRDefault="00435307" w:rsidP="008E5DE1">
            <w:pPr>
              <w:jc w:val="both"/>
              <w:rPr>
                <w:b/>
                <w:bCs/>
              </w:rPr>
            </w:pPr>
          </w:p>
          <w:p w:rsidR="00980BAF" w:rsidRPr="00980BAF" w:rsidRDefault="00980BAF" w:rsidP="008E5DE1">
            <w:pPr>
              <w:pStyle w:val="Paragrafoelenco"/>
              <w:numPr>
                <w:ilvl w:val="0"/>
                <w:numId w:val="3"/>
              </w:numPr>
              <w:jc w:val="both"/>
            </w:pPr>
            <w:r w:rsidRPr="00435307">
              <w:rPr>
                <w:i/>
              </w:rPr>
              <w:t>descrizione dell'oggetto di studio</w:t>
            </w:r>
            <w:r w:rsidRPr="00980BAF">
              <w:t>: si intende la raccolta di informazioni e di dati sui processi produttivi e/o sulle attrezzature e/o sui prodotti e/o sui materiali e/o sugli ambienti interessati (ovviamente a seconda dell'obiettivo finale</w:t>
            </w:r>
            <w:r w:rsidR="00435307">
              <w:t xml:space="preserve"> </w:t>
            </w:r>
            <w:r w:rsidRPr="00980BAF">
              <w:t>la descrizione si concentrerà su aspetti differenti), ai fini dell'individuazione dei rischi. In genere</w:t>
            </w:r>
            <w:r w:rsidR="00435307">
              <w:t>,</w:t>
            </w:r>
            <w:r w:rsidRPr="00980BAF">
              <w:t xml:space="preserve"> è importante arrivare ad una schematizzazione dei processi produttivi (ad esempio suddividendoli per fasi lavorative</w:t>
            </w:r>
            <w:r w:rsidR="00435307">
              <w:t>)</w:t>
            </w:r>
            <w:r w:rsidRPr="00980BAF">
              <w:t xml:space="preserve"> per facilitare la successiva fase di individuazione dei pericoli; </w:t>
            </w:r>
          </w:p>
          <w:p w:rsidR="00980BAF" w:rsidRPr="00980BAF" w:rsidRDefault="00980BAF" w:rsidP="008E5DE1">
            <w:pPr>
              <w:pStyle w:val="Paragrafoelenco"/>
              <w:numPr>
                <w:ilvl w:val="0"/>
                <w:numId w:val="3"/>
              </w:numPr>
              <w:jc w:val="both"/>
            </w:pPr>
            <w:r w:rsidRPr="00435307">
              <w:rPr>
                <w:i/>
              </w:rPr>
              <w:t>individuazione dei potenziali pericoli</w:t>
            </w:r>
            <w:r w:rsidRPr="00980BAF">
              <w:t>: mediante l'analisi delle informazioni raccolte nella fase precedente si individuano tutti i pericoli riconducibili all'oggetto di studio e si associano a ciascuna fase lavorativa o al reparto dai quali traggono origine;</w:t>
            </w:r>
          </w:p>
          <w:p w:rsidR="00DC41A5" w:rsidRDefault="00980BAF" w:rsidP="008E5DE1">
            <w:pPr>
              <w:pStyle w:val="Paragrafoelenco"/>
              <w:numPr>
                <w:ilvl w:val="0"/>
                <w:numId w:val="3"/>
              </w:numPr>
              <w:jc w:val="both"/>
            </w:pPr>
            <w:r w:rsidRPr="00435307">
              <w:rPr>
                <w:i/>
              </w:rPr>
              <w:t>stima dei potenziali rischi</w:t>
            </w:r>
            <w:r w:rsidRPr="00980BAF">
              <w:t>: ad ogni pericolo individuato si stima la probabilità di accadimento e la gravità degli effetti che può determinare tenendo conto delle eventuali misure preventive o protettive gi</w:t>
            </w:r>
            <w:r w:rsidR="00DC41A5">
              <w:t>à in essere;</w:t>
            </w:r>
          </w:p>
          <w:p w:rsidR="00980BAF" w:rsidRPr="00980BAF" w:rsidRDefault="00980BAF" w:rsidP="008E5DE1">
            <w:pPr>
              <w:pStyle w:val="Paragrafoelenco"/>
              <w:numPr>
                <w:ilvl w:val="0"/>
                <w:numId w:val="3"/>
              </w:numPr>
              <w:jc w:val="both"/>
            </w:pPr>
            <w:r w:rsidRPr="00435307">
              <w:rPr>
                <w:i/>
              </w:rPr>
              <w:t>determina</w:t>
            </w:r>
            <w:r w:rsidR="00DC41A5" w:rsidRPr="00435307">
              <w:rPr>
                <w:i/>
              </w:rPr>
              <w:t>zione del</w:t>
            </w:r>
            <w:r w:rsidRPr="00435307">
              <w:rPr>
                <w:i/>
              </w:rPr>
              <w:t>la classe di rischio</w:t>
            </w:r>
            <w:r w:rsidRPr="00980BAF">
              <w:t xml:space="preserve"> (si vada a quanto proposito la matrice del rischio sotto riportata). </w:t>
            </w:r>
          </w:p>
          <w:p w:rsidR="00980BAF" w:rsidRPr="008E5DE1" w:rsidRDefault="00980BAF" w:rsidP="008E5DE1">
            <w:pPr>
              <w:jc w:val="both"/>
              <w:rPr>
                <w:b/>
                <w:i/>
              </w:rPr>
            </w:pPr>
            <w:r w:rsidRPr="00980BAF">
              <w:br/>
            </w:r>
            <w:r w:rsidRPr="008E5DE1">
              <w:rPr>
                <w:b/>
                <w:i/>
                <w:sz w:val="18"/>
              </w:rPr>
              <w:t xml:space="preserve">Esempio applicativo di "Matrice del Rischio" risultante dalla combinazione di tre classi di probabilità e tre di gravità. </w:t>
            </w:r>
          </w:p>
          <w:p w:rsidR="00980BAF" w:rsidRPr="00980BAF" w:rsidRDefault="00980BAF" w:rsidP="008E5DE1">
            <w:pPr>
              <w:jc w:val="both"/>
            </w:pPr>
          </w:p>
          <w:p w:rsidR="00980BAF" w:rsidRPr="00980BAF" w:rsidRDefault="00980BAF" w:rsidP="008E5DE1">
            <w:pPr>
              <w:jc w:val="center"/>
            </w:pPr>
            <w:r w:rsidRPr="00980BAF">
              <w:rPr>
                <w:noProof/>
                <w:lang w:eastAsia="it-IT"/>
              </w:rPr>
              <w:drawing>
                <wp:inline distT="0" distB="0" distL="0" distR="0" wp14:anchorId="46B476D7" wp14:editId="143FE23C">
                  <wp:extent cx="4396740" cy="861060"/>
                  <wp:effectExtent l="19050" t="0" r="3810" b="0"/>
                  <wp:docPr id="3" name="Immagine 3" descr="http://www.cesqa.it/admin/newsimg/matr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esqa.it/admin/newsimg/matrice.gif"/>
                          <pic:cNvPicPr>
                            <a:picLocks noChangeAspect="1" noChangeArrowheads="1"/>
                          </pic:cNvPicPr>
                        </pic:nvPicPr>
                        <pic:blipFill>
                          <a:blip r:embed="rId9" cstate="print"/>
                          <a:srcRect/>
                          <a:stretch>
                            <a:fillRect/>
                          </a:stretch>
                        </pic:blipFill>
                        <pic:spPr bwMode="auto">
                          <a:xfrm>
                            <a:off x="0" y="0"/>
                            <a:ext cx="4396740" cy="861060"/>
                          </a:xfrm>
                          <a:prstGeom prst="rect">
                            <a:avLst/>
                          </a:prstGeom>
                          <a:noFill/>
                          <a:ln w="9525">
                            <a:noFill/>
                            <a:miter lim="800000"/>
                            <a:headEnd/>
                            <a:tailEnd/>
                          </a:ln>
                        </pic:spPr>
                      </pic:pic>
                    </a:graphicData>
                  </a:graphic>
                </wp:inline>
              </w:drawing>
            </w:r>
          </w:p>
          <w:p w:rsidR="00980BAF" w:rsidRPr="00980BAF" w:rsidRDefault="00980BAF" w:rsidP="008E5DE1">
            <w:pPr>
              <w:jc w:val="both"/>
            </w:pPr>
          </w:p>
          <w:p w:rsidR="00980BAF" w:rsidRPr="008E5DE1" w:rsidRDefault="00980BAF" w:rsidP="008E5DE1">
            <w:pPr>
              <w:jc w:val="both"/>
              <w:rPr>
                <w:sz w:val="18"/>
              </w:rPr>
            </w:pPr>
            <w:r w:rsidRPr="008E5DE1">
              <w:rPr>
                <w:b/>
                <w:bCs/>
                <w:sz w:val="18"/>
              </w:rPr>
              <w:t>legenda</w:t>
            </w:r>
          </w:p>
          <w:p w:rsidR="00980BAF" w:rsidRPr="00980BAF" w:rsidRDefault="00980BAF" w:rsidP="008E5DE1">
            <w:pPr>
              <w:jc w:val="both"/>
              <w:rPr>
                <w:b/>
                <w:bCs/>
              </w:rPr>
            </w:pPr>
            <w:r w:rsidRPr="00980BAF">
              <w:br/>
            </w:r>
            <w:r w:rsidRPr="00980BAF">
              <w:rPr>
                <w:b/>
                <w:bCs/>
              </w:rPr>
              <w:t xml:space="preserve">- </w:t>
            </w:r>
            <w:r w:rsidRPr="008E5DE1">
              <w:rPr>
                <w:b/>
                <w:i/>
              </w:rPr>
              <w:t>Rischio</w:t>
            </w:r>
            <w:r w:rsidRPr="00980BAF">
              <w:t xml:space="preserve">: si intende la pericolosità di un evento ed è determinato dal prodotto tra P (probabilità </w:t>
            </w:r>
            <w:r w:rsidRPr="00980BAF">
              <w:lastRenderedPageBreak/>
              <w:t>dell'evento) e G (gravità), secondo la seguente formula:</w:t>
            </w:r>
            <w:r w:rsidRPr="00980BAF">
              <w:rPr>
                <w:b/>
                <w:bCs/>
              </w:rPr>
              <w:t xml:space="preserve"> R = </w:t>
            </w:r>
            <w:proofErr w:type="spellStart"/>
            <w:r w:rsidRPr="00980BAF">
              <w:rPr>
                <w:b/>
                <w:bCs/>
              </w:rPr>
              <w:t>PxG</w:t>
            </w:r>
            <w:proofErr w:type="spellEnd"/>
          </w:p>
          <w:p w:rsidR="00980BAF" w:rsidRPr="00980BAF" w:rsidRDefault="00980BAF" w:rsidP="008E5DE1">
            <w:pPr>
              <w:jc w:val="both"/>
            </w:pPr>
            <w:r w:rsidRPr="00980BAF">
              <w:rPr>
                <w:b/>
                <w:bCs/>
              </w:rPr>
              <w:t>-</w:t>
            </w:r>
            <w:r w:rsidRPr="00980BAF">
              <w:t xml:space="preserve"> </w:t>
            </w:r>
            <w:r w:rsidRPr="008E5DE1">
              <w:rPr>
                <w:b/>
                <w:i/>
              </w:rPr>
              <w:t>Probabilità</w:t>
            </w:r>
            <w:r w:rsidRPr="00980BAF">
              <w:t xml:space="preserve"> (P): si intende la probabilità che l'evento indesiderato si possa verificare tenendo conto delle misure precauzionali già in essere al momento della valutazione. In genere viene distinta in 3-4 classi.</w:t>
            </w:r>
          </w:p>
          <w:p w:rsidR="00980BAF" w:rsidRPr="00980BAF" w:rsidRDefault="00980BAF" w:rsidP="008E5DE1">
            <w:pPr>
              <w:jc w:val="both"/>
            </w:pPr>
            <w:r w:rsidRPr="00980BAF">
              <w:rPr>
                <w:b/>
                <w:bCs/>
              </w:rPr>
              <w:t xml:space="preserve">- </w:t>
            </w:r>
            <w:r w:rsidRPr="008E5DE1">
              <w:rPr>
                <w:b/>
                <w:i/>
              </w:rPr>
              <w:t>Gravità</w:t>
            </w:r>
            <w:r w:rsidRPr="00980BAF">
              <w:t xml:space="preserve"> (G): detta anche Magnitudo (M), è intesa come la gravità delle conseguenze dell'evento indesiderato. In genere viene distinta in 3-4 classi. </w:t>
            </w:r>
          </w:p>
          <w:p w:rsidR="00980BAF" w:rsidRPr="00980BAF" w:rsidRDefault="00980BAF" w:rsidP="008E5DE1">
            <w:pPr>
              <w:jc w:val="both"/>
            </w:pPr>
            <w:r w:rsidRPr="00980BAF">
              <w:rPr>
                <w:b/>
                <w:bCs/>
              </w:rPr>
              <w:t xml:space="preserve">- </w:t>
            </w:r>
            <w:r w:rsidRPr="008E5DE1">
              <w:rPr>
                <w:b/>
                <w:i/>
              </w:rPr>
              <w:t>Pericolo, sorgente di rischio</w:t>
            </w:r>
            <w:r w:rsidRPr="00980BAF">
              <w:t xml:space="preserve">: si intende l'entità o l'evento in grado di provocare i danni. </w:t>
            </w:r>
          </w:p>
          <w:p w:rsidR="00980BAF" w:rsidRPr="00980BAF" w:rsidRDefault="00980BAF" w:rsidP="008E5DE1">
            <w:pPr>
              <w:jc w:val="both"/>
            </w:pPr>
            <w:r w:rsidRPr="00980BAF">
              <w:br/>
              <w:t>Alle 5 classi di rischio così risultanti si possono, ad esempio, associare le seguenti raccomandazioni:</w:t>
            </w:r>
            <w:r w:rsidRPr="00980BAF">
              <w:br/>
            </w:r>
            <w:r w:rsidRPr="00980BAF">
              <w:br/>
            </w:r>
            <w:r w:rsidRPr="00980BAF">
              <w:rPr>
                <w:b/>
                <w:bCs/>
              </w:rPr>
              <w:t>Irrilevante:</w:t>
            </w:r>
            <w:r w:rsidRPr="00980BAF">
              <w:t xml:space="preserve"> Nessuna azione e documentazione è richiesta </w:t>
            </w:r>
          </w:p>
          <w:p w:rsidR="00980BAF" w:rsidRPr="00980BAF" w:rsidRDefault="00980BAF" w:rsidP="008E5DE1">
            <w:pPr>
              <w:jc w:val="both"/>
            </w:pPr>
            <w:r w:rsidRPr="00980BAF">
              <w:br/>
            </w:r>
            <w:r w:rsidRPr="00980BAF">
              <w:rPr>
                <w:b/>
                <w:bCs/>
              </w:rPr>
              <w:t>Tollerabile:</w:t>
            </w:r>
            <w:r w:rsidRPr="00980BAF">
              <w:t xml:space="preserve"> Non sono richieste ulteriori azioni di controllo. Si possono ricercare soluzioni migliori come costi-benefici e miglioramenti che non comportino ulteriore aggravio sui costi. Il monitoraggio è richiesto per garantire che i controlli siano mantenuti </w:t>
            </w:r>
          </w:p>
          <w:p w:rsidR="00980BAF" w:rsidRPr="00980BAF" w:rsidRDefault="00980BAF" w:rsidP="008E5DE1">
            <w:pPr>
              <w:jc w:val="both"/>
            </w:pPr>
            <w:r w:rsidRPr="00980BAF">
              <w:br/>
            </w:r>
            <w:r w:rsidRPr="00980BAF">
              <w:rPr>
                <w:b/>
                <w:bCs/>
              </w:rPr>
              <w:t>Moderato:</w:t>
            </w:r>
            <w:r w:rsidRPr="00980BAF">
              <w:t xml:space="preserve"> Sforzi devono essere fatti per ridurre il rischio, ma i costi della prevenzione vanno attentamente valutati e limitati. Misure per ridurre il rischio dovrebbero essere effettuate in un tempo </w:t>
            </w:r>
            <w:proofErr w:type="spellStart"/>
            <w:r w:rsidRPr="00980BAF">
              <w:t>determinato.Dove</w:t>
            </w:r>
            <w:proofErr w:type="spellEnd"/>
            <w:r w:rsidRPr="00980BAF">
              <w:t xml:space="preserve"> il rischio moderato è associato a conseguenze estremamente dannose, un ulteriore stima è richiesta per stabilire più precisamente la probabilità di accadimento come base per fissare le necessarie azioni di controllo da intraprendere</w:t>
            </w:r>
          </w:p>
          <w:p w:rsidR="00435307" w:rsidRDefault="00980BAF" w:rsidP="008E5DE1">
            <w:pPr>
              <w:jc w:val="both"/>
            </w:pPr>
            <w:r w:rsidRPr="00980BAF">
              <w:br/>
            </w:r>
            <w:r w:rsidRPr="00980BAF">
              <w:rPr>
                <w:b/>
                <w:bCs/>
              </w:rPr>
              <w:t>Effettivo:</w:t>
            </w:r>
            <w:r w:rsidRPr="00980BAF">
              <w:t xml:space="preserve"> Il lavoro non dovrebbe partire finché il rischio non è stato ridotto. Notevoli risorse devono essere impegnate per ridurre il rischio e questo deve essere eseguito urgentemente</w:t>
            </w:r>
          </w:p>
          <w:p w:rsidR="00980BAF" w:rsidRPr="00980BAF" w:rsidRDefault="00980BAF" w:rsidP="008E5DE1">
            <w:pPr>
              <w:jc w:val="both"/>
            </w:pPr>
            <w:r w:rsidRPr="00980BAF">
              <w:br/>
            </w:r>
            <w:r w:rsidRPr="00980BAF">
              <w:rPr>
                <w:b/>
                <w:bCs/>
              </w:rPr>
              <w:t>Intollerabile:</w:t>
            </w:r>
            <w:r w:rsidRPr="00980BAF">
              <w:t xml:space="preserve"> Il lavoro non dovrebbe partire finché il rischio non è stato ridotto. Se non è possibile ridurre il rischio anche con risorse "illimitate", il lavoro deve essere proibito</w:t>
            </w:r>
          </w:p>
          <w:p w:rsidR="00980BAF" w:rsidRPr="00980BAF" w:rsidRDefault="00980BAF" w:rsidP="008E5DE1">
            <w:pPr>
              <w:jc w:val="both"/>
              <w:rPr>
                <w:bCs/>
              </w:rPr>
            </w:pPr>
          </w:p>
        </w:tc>
      </w:tr>
    </w:tbl>
    <w:p w:rsidR="00980BAF" w:rsidRDefault="00980BAF" w:rsidP="00980BAF">
      <w:pPr>
        <w:rPr>
          <w:bCs/>
        </w:rPr>
      </w:pPr>
    </w:p>
    <w:p w:rsidR="00DC41A5" w:rsidRPr="00980BAF" w:rsidRDefault="00860B72" w:rsidP="008E5DE1">
      <w:pPr>
        <w:pStyle w:val="Titolo1"/>
      </w:pPr>
      <w:bookmarkStart w:id="2" w:name="_Toc519072295"/>
      <w:r>
        <w:t>1</w:t>
      </w:r>
      <w:r w:rsidR="00601735">
        <w:t xml:space="preserve">. </w:t>
      </w:r>
      <w:r w:rsidR="004E6461" w:rsidRPr="0075618D">
        <w:t xml:space="preserve">La </w:t>
      </w:r>
      <w:r w:rsidR="004E6461" w:rsidRPr="0075618D">
        <w:rPr>
          <w:i/>
        </w:rPr>
        <w:t xml:space="preserve">Work </w:t>
      </w:r>
      <w:proofErr w:type="spellStart"/>
      <w:r w:rsidR="004E6461" w:rsidRPr="0075618D">
        <w:rPr>
          <w:i/>
        </w:rPr>
        <w:t>Breckdown</w:t>
      </w:r>
      <w:proofErr w:type="spellEnd"/>
      <w:r w:rsidR="004E6461" w:rsidRPr="0075618D">
        <w:rPr>
          <w:i/>
        </w:rPr>
        <w:t xml:space="preserve"> </w:t>
      </w:r>
      <w:proofErr w:type="spellStart"/>
      <w:r w:rsidR="004E6461" w:rsidRPr="0075618D">
        <w:rPr>
          <w:i/>
        </w:rPr>
        <w:t>Structure</w:t>
      </w:r>
      <w:proofErr w:type="spellEnd"/>
      <w:r w:rsidR="004E6461" w:rsidRPr="0075618D">
        <w:t xml:space="preserve"> del </w:t>
      </w:r>
      <w:r w:rsidR="004E6461" w:rsidRPr="0075618D">
        <w:t>Progetto E.QU.A.L.</w:t>
      </w:r>
      <w:bookmarkEnd w:id="2"/>
    </w:p>
    <w:p w:rsidR="00980BAF" w:rsidRPr="00980BAF" w:rsidRDefault="00980BAF" w:rsidP="00980BAF"/>
    <w:p w:rsidR="0075618D" w:rsidRPr="00F96A51" w:rsidRDefault="0075618D" w:rsidP="00F96A51">
      <w:pPr>
        <w:tabs>
          <w:tab w:val="left" w:pos="4455"/>
        </w:tabs>
        <w:jc w:val="both"/>
      </w:pPr>
      <w:r w:rsidRPr="00F96A51">
        <w:t xml:space="preserve">Il piano di lavoro del Progetto è articolato in tre Work </w:t>
      </w:r>
      <w:proofErr w:type="spellStart"/>
      <w:r w:rsidRPr="00F96A51">
        <w:t>Packages</w:t>
      </w:r>
      <w:proofErr w:type="spellEnd"/>
      <w:r w:rsidRPr="00F96A51">
        <w:t xml:space="preserve"> (WP)  trasversali, nei quali sono ricomprese attività inerenti diffusione (</w:t>
      </w:r>
      <w:r w:rsidRPr="00F96A51">
        <w:rPr>
          <w:b/>
        </w:rPr>
        <w:t>WP4</w:t>
      </w:r>
      <w:r w:rsidRPr="00F96A51">
        <w:t>),  monitoraggio e valutazione(</w:t>
      </w:r>
      <w:r w:rsidRPr="00F96A51">
        <w:rPr>
          <w:b/>
        </w:rPr>
        <w:t>WP5</w:t>
      </w:r>
      <w:r w:rsidRPr="00F96A51">
        <w:t>) e gestione e coordinamento (</w:t>
      </w:r>
      <w:r w:rsidRPr="00F96A51">
        <w:rPr>
          <w:b/>
        </w:rPr>
        <w:t>WP6</w:t>
      </w:r>
      <w:r w:rsidRPr="00F96A51">
        <w:t>), e 3 WP “verticali”, che prevedono azioni di ricerca, indagine  e animazione.</w:t>
      </w:r>
    </w:p>
    <w:p w:rsidR="0075618D" w:rsidRPr="00F96A51" w:rsidRDefault="0075618D" w:rsidP="00F96A51">
      <w:pPr>
        <w:tabs>
          <w:tab w:val="left" w:pos="4455"/>
        </w:tabs>
        <w:jc w:val="both"/>
      </w:pPr>
    </w:p>
    <w:p w:rsidR="0075618D" w:rsidRPr="00F96A51" w:rsidRDefault="0075618D" w:rsidP="00F96A51">
      <w:pPr>
        <w:tabs>
          <w:tab w:val="left" w:pos="4455"/>
        </w:tabs>
        <w:jc w:val="both"/>
      </w:pPr>
      <w:r w:rsidRPr="00F96A51">
        <w:t>Le attività specifiche</w:t>
      </w:r>
      <w:r w:rsidR="00F96A51">
        <w:t>, come descritte nella candidatura,</w:t>
      </w:r>
      <w:r w:rsidRPr="00F96A51">
        <w:t xml:space="preserve"> sono le seguenti:</w:t>
      </w:r>
    </w:p>
    <w:p w:rsidR="0075618D" w:rsidRPr="00C51EFA" w:rsidRDefault="0075618D" w:rsidP="00F96A51">
      <w:pPr>
        <w:tabs>
          <w:tab w:val="left" w:pos="4455"/>
        </w:tabs>
        <w:jc w:val="both"/>
        <w:rPr>
          <w:highlight w:val="yellow"/>
        </w:rPr>
      </w:pPr>
    </w:p>
    <w:p w:rsidR="0075618D" w:rsidRDefault="00F96A51" w:rsidP="00F96A51">
      <w:pPr>
        <w:tabs>
          <w:tab w:val="left" w:pos="4455"/>
        </w:tabs>
        <w:jc w:val="both"/>
        <w:rPr>
          <w:b/>
          <w:lang w:val="en-US"/>
        </w:rPr>
      </w:pPr>
      <w:r w:rsidRPr="00F96A51">
        <w:rPr>
          <w:b/>
          <w:lang w:val="en-US"/>
        </w:rPr>
        <w:t>WP1 - TAKING STOCK-EXISTING ADULT LEARNING POLICIES, MEASURES AND RESOURCES</w:t>
      </w:r>
    </w:p>
    <w:p w:rsidR="00F96A51" w:rsidRPr="00F96A51" w:rsidRDefault="00F96A51" w:rsidP="00F96A51">
      <w:pPr>
        <w:tabs>
          <w:tab w:val="left" w:pos="4455"/>
        </w:tabs>
        <w:jc w:val="both"/>
        <w:rPr>
          <w:b/>
          <w:lang w:val="en-US"/>
        </w:rPr>
      </w:pPr>
    </w:p>
    <w:p w:rsidR="00F96A51" w:rsidRPr="00F96A51" w:rsidRDefault="00F96A51" w:rsidP="00F96A51">
      <w:pPr>
        <w:tabs>
          <w:tab w:val="left" w:pos="4455"/>
        </w:tabs>
        <w:ind w:left="709"/>
        <w:jc w:val="both"/>
        <w:rPr>
          <w:b/>
          <w:lang w:val="en-US"/>
        </w:rPr>
      </w:pPr>
      <w:r w:rsidRPr="00F96A51">
        <w:rPr>
          <w:b/>
          <w:lang w:val="en-US"/>
        </w:rPr>
        <w:t>Activity 1.1: profiling of ‘low-skilled individuals’ and relevant sub-categories</w:t>
      </w:r>
    </w:p>
    <w:p w:rsidR="00F96A51" w:rsidRPr="00F96A51" w:rsidRDefault="00F96A51" w:rsidP="00F96A51">
      <w:pPr>
        <w:tabs>
          <w:tab w:val="left" w:pos="4455"/>
        </w:tabs>
        <w:ind w:left="709"/>
        <w:jc w:val="both"/>
        <w:rPr>
          <w:lang w:val="en-US"/>
        </w:rPr>
      </w:pPr>
      <w:r w:rsidRPr="00F96A51">
        <w:rPr>
          <w:lang w:val="en-US"/>
        </w:rPr>
        <w:t xml:space="preserve">Desk research activity for the identification of adequate indicators to identify “low-skilled” taking stock of existing literature and PIAAC measurements in order to outline sub-categories of low-skilled individual among those showing similar characteristics by their socio-economic status (e.g. sex, age, income, location, nationality, educational attainment etc.). In doing so, INAPP will liaise with the co-applicant regions to fine-tune their findings. </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Activity 1.2: Mapping of existing policies, measures and resources</w:t>
      </w:r>
    </w:p>
    <w:p w:rsidR="00F96A51" w:rsidRPr="00F96A51" w:rsidRDefault="00F96A51" w:rsidP="00F96A51">
      <w:pPr>
        <w:tabs>
          <w:tab w:val="left" w:pos="4455"/>
        </w:tabs>
        <w:ind w:left="709"/>
        <w:jc w:val="both"/>
        <w:rPr>
          <w:lang w:val="en-US"/>
        </w:rPr>
      </w:pPr>
      <w:r w:rsidRPr="00F96A51">
        <w:rPr>
          <w:lang w:val="en-US"/>
        </w:rPr>
        <w:t xml:space="preserve">Desk/Field analysis to draw an overview of existing policies and tools. Information will be collected covering the following: policies, measures, stakeholders and resources which are relevant for the UP development, </w:t>
      </w:r>
      <w:r w:rsidRPr="00F96A51">
        <w:rPr>
          <w:lang w:val="en-US"/>
        </w:rPr>
        <w:lastRenderedPageBreak/>
        <w:t xml:space="preserve">having in mind all sub-groups of low-skilled defined in activity 1.1. This activity will build upon and update existing analysis carried out in Italy by the National coordinator for adult learning (INAPP), namely on mapping stakeholders for the governance of adult learning at the national and regional level both from public and private sector </w:t>
      </w:r>
      <w:proofErr w:type="spellStart"/>
      <w:r w:rsidRPr="00F96A51">
        <w:rPr>
          <w:lang w:val="en-US"/>
        </w:rPr>
        <w:t>organisations</w:t>
      </w:r>
      <w:proofErr w:type="spellEnd"/>
      <w:r w:rsidRPr="00F96A51">
        <w:rPr>
          <w:lang w:val="en-US"/>
        </w:rPr>
        <w:t xml:space="preserve">. In the same line, there is a need to update the work carried out on available funding instruments for adult learning and their potential synergies, so as to quantify relevant resources for the implementation of the UP and, above all, seek ways to make them fully available . This will be further integrated with information from territorial partners. For example, consideration will be given to issues such as how to exploit flexibility in the regional and national ESF programming to better support the implementation of the UP. An assessment will also be made of the amount of funding already spent /still available, so to inform relevant stakeholders on existing funding opportunities. Recommendations will be also developed that will suggest ways for multi-level stakeholders to share information, best practices and tools, so as to increase coordination and effectiveness of the governance. The mapping exercise will also present suggestions on how to exploit to the fullest available tools and resources. Partners are aware of the need to build upon the work already </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Activity 1.3: Rapid assessment of European policies and best practices and benchmarking analysis with the case of</w:t>
      </w:r>
      <w:r w:rsidRPr="00F96A51">
        <w:rPr>
          <w:lang w:val="en-US"/>
        </w:rPr>
        <w:t xml:space="preserve"> </w:t>
      </w:r>
      <w:r w:rsidRPr="00F96A51">
        <w:rPr>
          <w:b/>
          <w:lang w:val="en-US"/>
        </w:rPr>
        <w:t>France</w:t>
      </w:r>
    </w:p>
    <w:p w:rsidR="00F96A51" w:rsidRPr="00F96A51" w:rsidRDefault="00F96A51" w:rsidP="00F96A51">
      <w:pPr>
        <w:tabs>
          <w:tab w:val="left" w:pos="4455"/>
        </w:tabs>
        <w:ind w:left="709"/>
        <w:jc w:val="both"/>
        <w:rPr>
          <w:lang w:val="en-US"/>
        </w:rPr>
      </w:pPr>
      <w:r w:rsidRPr="00F96A51">
        <w:rPr>
          <w:lang w:val="en-US"/>
        </w:rPr>
        <w:t xml:space="preserve">Literature review/Appraisal of EU-level tools and instruments facilitating the implementation of UP. Comparative analysis French system, to </w:t>
      </w:r>
      <w:r w:rsidRPr="00F96A51">
        <w:rPr>
          <w:lang w:val="en-US"/>
        </w:rPr>
        <w:t>maximize</w:t>
      </w:r>
      <w:r w:rsidRPr="00F96A51">
        <w:rPr>
          <w:lang w:val="en-US"/>
        </w:rPr>
        <w:t xml:space="preserve"> spill-overs and by virtue of the expertise of CEREQ in this field, providing a report of desired features that a model for the implementation of the UP should include </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Activity 1.4: Launch event of the action</w:t>
      </w:r>
    </w:p>
    <w:p w:rsidR="00F96A51" w:rsidRDefault="00F96A51" w:rsidP="00F96A51">
      <w:pPr>
        <w:tabs>
          <w:tab w:val="left" w:pos="4455"/>
        </w:tabs>
        <w:ind w:left="709"/>
        <w:jc w:val="both"/>
        <w:rPr>
          <w:lang w:val="en-US"/>
        </w:rPr>
      </w:pPr>
      <w:r w:rsidRPr="00F96A51">
        <w:rPr>
          <w:lang w:val="en-US"/>
        </w:rPr>
        <w:t>The aim of this activity is to inform all key actors of the UP about the aim and content of the action so as to ensure their active involvement since the early stages of the project, agree on information needs and fine tune the scope of the action in line with their needs and suggestions. The activity will take the form of a ½ day stakeholders’ workshop and will be hosted by INAPP.</w:t>
      </w:r>
    </w:p>
    <w:p w:rsidR="00F96A51" w:rsidRDefault="00F96A51" w:rsidP="00F96A51">
      <w:pPr>
        <w:tabs>
          <w:tab w:val="left" w:pos="4455"/>
        </w:tabs>
        <w:jc w:val="both"/>
        <w:rPr>
          <w:lang w:val="en-US"/>
        </w:rPr>
      </w:pPr>
    </w:p>
    <w:p w:rsidR="00F96A51" w:rsidRDefault="00F96A51" w:rsidP="00F96A51">
      <w:pPr>
        <w:tabs>
          <w:tab w:val="left" w:pos="4455"/>
        </w:tabs>
        <w:jc w:val="both"/>
        <w:rPr>
          <w:lang w:val="en-US"/>
        </w:rPr>
      </w:pPr>
    </w:p>
    <w:p w:rsidR="0075618D" w:rsidRPr="00F96A51" w:rsidRDefault="00F96A51" w:rsidP="00F96A51">
      <w:pPr>
        <w:tabs>
          <w:tab w:val="left" w:pos="4455"/>
        </w:tabs>
        <w:jc w:val="both"/>
        <w:rPr>
          <w:b/>
          <w:lang w:val="en-US"/>
        </w:rPr>
      </w:pPr>
      <w:r w:rsidRPr="00F96A51">
        <w:rPr>
          <w:b/>
          <w:lang w:val="en-US"/>
        </w:rPr>
        <w:t>WP2 - TARGETING. A MODEL TO IDENTIFY PRIORITY GROUPS FOR THE IMPLEMENTATION OF UP RECOMMENDATION IN ITALY</w:t>
      </w:r>
    </w:p>
    <w:p w:rsidR="00F96A51" w:rsidRDefault="00F96A51" w:rsidP="00F96A51">
      <w:pPr>
        <w:tabs>
          <w:tab w:val="left" w:pos="4455"/>
        </w:tabs>
        <w:jc w:val="both"/>
        <w:rPr>
          <w:lang w:val="en-US"/>
        </w:rPr>
      </w:pPr>
    </w:p>
    <w:p w:rsidR="00F96A51" w:rsidRPr="00F96A51" w:rsidRDefault="00F96A51" w:rsidP="00F96A51">
      <w:pPr>
        <w:tabs>
          <w:tab w:val="left" w:pos="4455"/>
        </w:tabs>
        <w:ind w:left="709"/>
        <w:jc w:val="both"/>
        <w:rPr>
          <w:b/>
          <w:lang w:val="en-US"/>
        </w:rPr>
      </w:pPr>
      <w:r w:rsidRPr="00F96A51">
        <w:rPr>
          <w:b/>
          <w:lang w:val="en-US"/>
        </w:rPr>
        <w:t>Activity 2.1: Analysis of data and methodology of measurement (PIAAC, ESS)</w:t>
      </w:r>
    </w:p>
    <w:p w:rsidR="00F96A51" w:rsidRPr="00F96A51" w:rsidRDefault="00F96A51" w:rsidP="00F96A51">
      <w:pPr>
        <w:tabs>
          <w:tab w:val="left" w:pos="4455"/>
        </w:tabs>
        <w:ind w:left="709"/>
        <w:jc w:val="both"/>
        <w:rPr>
          <w:lang w:val="en-US"/>
        </w:rPr>
      </w:pPr>
      <w:r w:rsidRPr="00F96A51">
        <w:rPr>
          <w:lang w:val="en-US"/>
        </w:rPr>
        <w:t xml:space="preserve">This activity entails further analysis of PIAAC data (and other relevant surveys such as the European Social Survey) and the methodology of measurements in order to define proficiency levels of each sub-group identified in WP1, therefore the actual skills endowment of sub-groups of low skilled. Skills endowments will be therefore employed as a component for the attribution of priority to a specific sub-group.  </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 xml:space="preserve">Activity 2.2: Identification of </w:t>
      </w:r>
      <w:proofErr w:type="spellStart"/>
      <w:r w:rsidRPr="00F96A51">
        <w:rPr>
          <w:b/>
          <w:lang w:val="en-US"/>
        </w:rPr>
        <w:t>labour</w:t>
      </w:r>
      <w:proofErr w:type="spellEnd"/>
      <w:r w:rsidRPr="00F96A51">
        <w:rPr>
          <w:b/>
          <w:lang w:val="en-US"/>
        </w:rPr>
        <w:t xml:space="preserve"> market relevant skills needs and learning needs</w:t>
      </w:r>
    </w:p>
    <w:p w:rsidR="00F96A51" w:rsidRPr="00F96A51" w:rsidRDefault="00F96A51" w:rsidP="00F96A51">
      <w:pPr>
        <w:tabs>
          <w:tab w:val="left" w:pos="4455"/>
        </w:tabs>
        <w:ind w:left="709"/>
        <w:jc w:val="both"/>
        <w:rPr>
          <w:lang w:val="en-US"/>
        </w:rPr>
      </w:pPr>
      <w:r w:rsidRPr="00F96A51">
        <w:rPr>
          <w:lang w:val="en-US"/>
        </w:rPr>
        <w:t xml:space="preserve">Assessing skills endowments cannot by itself suffice to inform the design of relevant </w:t>
      </w:r>
      <w:proofErr w:type="spellStart"/>
      <w:r w:rsidRPr="00F96A51">
        <w:rPr>
          <w:lang w:val="en-US"/>
        </w:rPr>
        <w:t>upskilling</w:t>
      </w:r>
      <w:proofErr w:type="spellEnd"/>
      <w:r w:rsidRPr="00F96A51">
        <w:rPr>
          <w:lang w:val="en-US"/>
        </w:rPr>
        <w:t xml:space="preserve"> pathways and foster the participation of the low-skilled to education and training. Quite to the opposite, where </w:t>
      </w:r>
      <w:proofErr w:type="spellStart"/>
      <w:r w:rsidRPr="00F96A51">
        <w:rPr>
          <w:lang w:val="en-US"/>
        </w:rPr>
        <w:t>upskilling</w:t>
      </w:r>
      <w:proofErr w:type="spellEnd"/>
      <w:r w:rsidRPr="00F96A51">
        <w:rPr>
          <w:lang w:val="en-US"/>
        </w:rPr>
        <w:t xml:space="preserve"> fails to provide participants with skills they can spend on the </w:t>
      </w:r>
      <w:proofErr w:type="spellStart"/>
      <w:r w:rsidRPr="00F96A51">
        <w:rPr>
          <w:lang w:val="en-US"/>
        </w:rPr>
        <w:t>labour</w:t>
      </w:r>
      <w:proofErr w:type="spellEnd"/>
      <w:r w:rsidRPr="00F96A51">
        <w:rPr>
          <w:lang w:val="en-US"/>
        </w:rPr>
        <w:t xml:space="preserve"> market to actually find a job or improve their </w:t>
      </w:r>
      <w:proofErr w:type="spellStart"/>
      <w:r w:rsidRPr="00F96A51">
        <w:rPr>
          <w:lang w:val="en-US"/>
        </w:rPr>
        <w:t>labour</w:t>
      </w:r>
      <w:proofErr w:type="spellEnd"/>
      <w:r w:rsidRPr="00F96A51">
        <w:rPr>
          <w:lang w:val="en-US"/>
        </w:rPr>
        <w:t xml:space="preserve"> market position, it contributes to increase their reluctance to re-join education and training – and face the social stigma thereto connected. Thus, this activity is concerned with accurately define </w:t>
      </w:r>
      <w:proofErr w:type="spellStart"/>
      <w:r w:rsidRPr="00F96A51">
        <w:rPr>
          <w:lang w:val="en-US"/>
        </w:rPr>
        <w:t>labour</w:t>
      </w:r>
      <w:proofErr w:type="spellEnd"/>
      <w:r w:rsidRPr="00F96A51">
        <w:rPr>
          <w:lang w:val="en-US"/>
        </w:rPr>
        <w:t xml:space="preserve"> market needs and learning needs, </w:t>
      </w:r>
      <w:proofErr w:type="spellStart"/>
      <w:r w:rsidRPr="00F96A51">
        <w:rPr>
          <w:lang w:val="en-US"/>
        </w:rPr>
        <w:t>focussing</w:t>
      </w:r>
      <w:proofErr w:type="spellEnd"/>
      <w:r w:rsidRPr="00F96A51">
        <w:rPr>
          <w:lang w:val="en-US"/>
        </w:rPr>
        <w:t xml:space="preserve"> on regional LMs and their occupations. Full stock will be taken of the relevant work carried out in the frame on Professions, Occupations and Needs developed by </w:t>
      </w:r>
      <w:proofErr w:type="spellStart"/>
      <w:r w:rsidRPr="00F96A51">
        <w:rPr>
          <w:lang w:val="en-US"/>
        </w:rPr>
        <w:t>Inapp</w:t>
      </w:r>
      <w:proofErr w:type="spellEnd"/>
      <w:r w:rsidRPr="00F96A51">
        <w:rPr>
          <w:lang w:val="en-US"/>
        </w:rPr>
        <w:t>, to identify specific characteristics and learning needs.</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Activity 2.3: Scenario analysis, including social innovation and skills-biased technical change</w:t>
      </w:r>
    </w:p>
    <w:p w:rsidR="00F96A51" w:rsidRPr="00F96A51" w:rsidRDefault="00F96A51" w:rsidP="00F96A51">
      <w:pPr>
        <w:tabs>
          <w:tab w:val="left" w:pos="4455"/>
        </w:tabs>
        <w:ind w:left="709"/>
        <w:jc w:val="both"/>
        <w:rPr>
          <w:lang w:val="en-US"/>
        </w:rPr>
      </w:pPr>
      <w:r w:rsidRPr="00F96A51">
        <w:rPr>
          <w:lang w:val="en-US"/>
        </w:rPr>
        <w:t xml:space="preserve">Picturing the state of the art of skills endowments and skills needs risks to return an untimely description of sub-groups of low-skilled more at risk of </w:t>
      </w:r>
      <w:proofErr w:type="spellStart"/>
      <w:r w:rsidRPr="00F96A51">
        <w:rPr>
          <w:lang w:val="en-US"/>
        </w:rPr>
        <w:t>marginalisation</w:t>
      </w:r>
      <w:proofErr w:type="spellEnd"/>
      <w:r w:rsidRPr="00F96A51">
        <w:rPr>
          <w:lang w:val="en-US"/>
        </w:rPr>
        <w:t xml:space="preserve">, given the pace of technical change. Hence the need </w:t>
      </w:r>
      <w:r w:rsidRPr="00F96A51">
        <w:rPr>
          <w:lang w:val="en-US"/>
        </w:rPr>
        <w:lastRenderedPageBreak/>
        <w:t xml:space="preserve">to factor in how </w:t>
      </w:r>
      <w:proofErr w:type="spellStart"/>
      <w:r w:rsidRPr="00F96A51">
        <w:rPr>
          <w:lang w:val="en-US"/>
        </w:rPr>
        <w:t>labour</w:t>
      </w:r>
      <w:proofErr w:type="spellEnd"/>
      <w:r w:rsidRPr="00F96A51">
        <w:rPr>
          <w:lang w:val="en-US"/>
        </w:rPr>
        <w:t xml:space="preserve"> markets are changing and will continue to change in the future. This includes tacking stock of forward-looking strategies such as “Industry 4.0” and the Internet of Things (</w:t>
      </w:r>
      <w:proofErr w:type="spellStart"/>
      <w:r w:rsidRPr="00F96A51">
        <w:rPr>
          <w:lang w:val="en-US"/>
        </w:rPr>
        <w:t>IoT</w:t>
      </w:r>
      <w:proofErr w:type="spellEnd"/>
      <w:r w:rsidRPr="00F96A51">
        <w:rPr>
          <w:lang w:val="en-US"/>
        </w:rPr>
        <w:t xml:space="preserve">) with an effort to exploit the development applications which have been developed and deployed in recent years. However, these rapid advances in technology are accompanied by new demands in the workforce. To get the benefits of the technological development, it is important to consider that certain tasks, that have always been done separately, are now converging, and this requires additional skills and training for both employees and enterprises.  Specific attention need also those more repetitive occupations where human </w:t>
      </w:r>
      <w:proofErr w:type="spellStart"/>
      <w:r w:rsidRPr="00F96A51">
        <w:rPr>
          <w:lang w:val="en-US"/>
        </w:rPr>
        <w:t>labour</w:t>
      </w:r>
      <w:proofErr w:type="spellEnd"/>
      <w:r w:rsidRPr="00F96A51">
        <w:rPr>
          <w:lang w:val="en-US"/>
        </w:rPr>
        <w:t xml:space="preserve"> may be soon replaced through </w:t>
      </w:r>
      <w:proofErr w:type="spellStart"/>
      <w:r w:rsidRPr="00F96A51">
        <w:rPr>
          <w:lang w:val="en-US"/>
        </w:rPr>
        <w:t>robotization</w:t>
      </w:r>
      <w:proofErr w:type="spellEnd"/>
      <w:r w:rsidRPr="00F96A51">
        <w:rPr>
          <w:lang w:val="en-US"/>
        </w:rPr>
        <w:t xml:space="preserve"> and new technologies.  Within this activities a comparative analysis with the French context regarding the impact on new technology on occupations will be developed.</w:t>
      </w:r>
    </w:p>
    <w:p w:rsidR="00F96A51" w:rsidRPr="00F96A51" w:rsidRDefault="00F96A51" w:rsidP="00F96A51">
      <w:pPr>
        <w:tabs>
          <w:tab w:val="left" w:pos="4455"/>
        </w:tabs>
        <w:ind w:left="709"/>
        <w:jc w:val="both"/>
        <w:rPr>
          <w:lang w:val="en-US"/>
        </w:rPr>
      </w:pPr>
    </w:p>
    <w:p w:rsidR="00F96A51" w:rsidRPr="00F96A51" w:rsidRDefault="00F96A51" w:rsidP="00F96A51">
      <w:pPr>
        <w:tabs>
          <w:tab w:val="left" w:pos="4455"/>
        </w:tabs>
        <w:ind w:left="709"/>
        <w:jc w:val="both"/>
        <w:rPr>
          <w:b/>
          <w:lang w:val="en-US"/>
        </w:rPr>
      </w:pPr>
      <w:r w:rsidRPr="00F96A51">
        <w:rPr>
          <w:b/>
          <w:lang w:val="en-US"/>
        </w:rPr>
        <w:t xml:space="preserve">Activity 2.4: </w:t>
      </w:r>
      <w:proofErr w:type="spellStart"/>
      <w:r w:rsidRPr="00F96A51">
        <w:rPr>
          <w:b/>
          <w:lang w:val="en-US"/>
        </w:rPr>
        <w:t>finalisation</w:t>
      </w:r>
      <w:proofErr w:type="spellEnd"/>
      <w:r w:rsidRPr="00F96A51">
        <w:rPr>
          <w:b/>
          <w:lang w:val="en-US"/>
        </w:rPr>
        <w:t xml:space="preserve"> of a model to identify sub-groups of low-skilled to be given priority</w:t>
      </w:r>
    </w:p>
    <w:p w:rsidR="00F96A51" w:rsidRDefault="00F96A51" w:rsidP="00F96A51">
      <w:pPr>
        <w:tabs>
          <w:tab w:val="left" w:pos="4455"/>
        </w:tabs>
        <w:ind w:left="709"/>
        <w:jc w:val="both"/>
        <w:rPr>
          <w:lang w:val="en-US"/>
        </w:rPr>
      </w:pPr>
      <w:r w:rsidRPr="00F96A51">
        <w:rPr>
          <w:lang w:val="en-US"/>
        </w:rPr>
        <w:t xml:space="preserve">This activity consists of taking stock of all findings of WP1 and previous activities of WP2 to eventually identify priority groups in each region. As a result the standard grids developed in WP1 (legal framework and policies, resources, skills endowments, skills needs, learning needs, evolving scenarios and relevant stakeholders for each sub-group of low-skilled) will be filled in for each region. Priority will be scaled according to how worrying is the picture resulting from the analysis of each of these elements on a specific target group (e.g. severe lack of skills, lack of dedicated resources, high risk of substitution through </w:t>
      </w:r>
      <w:proofErr w:type="spellStart"/>
      <w:r w:rsidRPr="00F96A51">
        <w:rPr>
          <w:lang w:val="en-US"/>
        </w:rPr>
        <w:t>robotization</w:t>
      </w:r>
      <w:proofErr w:type="spellEnd"/>
      <w:r w:rsidRPr="00F96A51">
        <w:rPr>
          <w:lang w:val="en-US"/>
        </w:rPr>
        <w:t xml:space="preserve"> </w:t>
      </w:r>
      <w:proofErr w:type="spellStart"/>
      <w:r w:rsidRPr="00F96A51">
        <w:rPr>
          <w:lang w:val="en-US"/>
        </w:rPr>
        <w:t>etc</w:t>
      </w:r>
      <w:proofErr w:type="spellEnd"/>
      <w:r w:rsidRPr="00F96A51">
        <w:rPr>
          <w:lang w:val="en-US"/>
        </w:rPr>
        <w:t>).</w:t>
      </w:r>
    </w:p>
    <w:p w:rsidR="00F96A51" w:rsidRDefault="00F96A51" w:rsidP="00F96A51">
      <w:pPr>
        <w:tabs>
          <w:tab w:val="left" w:pos="4455"/>
        </w:tabs>
        <w:jc w:val="both"/>
        <w:rPr>
          <w:lang w:val="en-US"/>
        </w:rPr>
      </w:pPr>
    </w:p>
    <w:p w:rsidR="0075618D" w:rsidRPr="00F96A51" w:rsidRDefault="00F96A51" w:rsidP="00F96A51">
      <w:pPr>
        <w:tabs>
          <w:tab w:val="left" w:pos="4455"/>
        </w:tabs>
        <w:jc w:val="both"/>
        <w:rPr>
          <w:b/>
          <w:lang w:val="en-US"/>
        </w:rPr>
      </w:pPr>
      <w:r w:rsidRPr="00F96A51">
        <w:rPr>
          <w:b/>
          <w:lang w:val="en-US"/>
        </w:rPr>
        <w:t>WP3 - MODELLING: REGIONAL CASE STUDIES FOR THE DEFINITION OF A MODEL FOR THE IMPLEMENTATION OF THE UPSKILLING PATHWAYS, INCLUDING VALIDATION</w:t>
      </w:r>
    </w:p>
    <w:p w:rsidR="00F96A51" w:rsidRPr="0075618D" w:rsidRDefault="00F96A51" w:rsidP="00F96A51">
      <w:pPr>
        <w:tabs>
          <w:tab w:val="left" w:pos="4455"/>
        </w:tabs>
        <w:jc w:val="both"/>
        <w:rPr>
          <w:lang w:val="en-US"/>
        </w:rPr>
      </w:pPr>
    </w:p>
    <w:p w:rsidR="00F96A51" w:rsidRPr="00F96A51" w:rsidRDefault="00F96A51" w:rsidP="00F96A51">
      <w:pPr>
        <w:tabs>
          <w:tab w:val="left" w:pos="4455"/>
        </w:tabs>
        <w:ind w:left="851"/>
        <w:jc w:val="both"/>
        <w:rPr>
          <w:b/>
          <w:lang w:val="en-GB"/>
        </w:rPr>
      </w:pPr>
      <w:r w:rsidRPr="00F96A51">
        <w:rPr>
          <w:b/>
          <w:lang w:val="en-GB"/>
        </w:rPr>
        <w:t xml:space="preserve">3.1 Identification of relevant existing </w:t>
      </w:r>
      <w:proofErr w:type="spellStart"/>
      <w:r w:rsidRPr="00F96A51">
        <w:rPr>
          <w:b/>
          <w:lang w:val="en-GB"/>
        </w:rPr>
        <w:t>upskilling</w:t>
      </w:r>
      <w:proofErr w:type="spellEnd"/>
      <w:r w:rsidRPr="00F96A51">
        <w:rPr>
          <w:b/>
          <w:lang w:val="en-GB"/>
        </w:rPr>
        <w:t xml:space="preserve"> pathways for in-depth study</w:t>
      </w:r>
    </w:p>
    <w:p w:rsidR="00F96A51" w:rsidRPr="00F96A51" w:rsidRDefault="00F96A51" w:rsidP="00F96A51">
      <w:pPr>
        <w:tabs>
          <w:tab w:val="left" w:pos="4455"/>
        </w:tabs>
        <w:ind w:left="851"/>
        <w:jc w:val="both"/>
        <w:rPr>
          <w:lang w:val="en-GB"/>
        </w:rPr>
      </w:pPr>
      <w:r w:rsidRPr="00F96A51">
        <w:rPr>
          <w:lang w:val="en-GB"/>
        </w:rPr>
        <w:t xml:space="preserve">Building on the mapping of regional tools and practices for adult </w:t>
      </w:r>
      <w:proofErr w:type="spellStart"/>
      <w:r w:rsidRPr="00F96A51">
        <w:rPr>
          <w:lang w:val="en-GB"/>
        </w:rPr>
        <w:t>upskilling</w:t>
      </w:r>
      <w:proofErr w:type="spellEnd"/>
      <w:r w:rsidRPr="00F96A51">
        <w:rPr>
          <w:lang w:val="en-GB"/>
        </w:rPr>
        <w:t xml:space="preserve">, this activity will entail the identification and in-depth study of 2/3 pathways per co-applicant region which already adopt the three-step structure of the Upskilling Pathways Recommendation and possibly its enabling principles (outreach, guidance and support measures, coordination, follow-up and evaluation). They should ideally address the same priority group/s of low-skilled identified in WP2 for the given region. This will be discussed and shared among partners through the organisation of a Steering group meeting (see below WP6 - Project Management), during which clear selection criteria for the collection of the </w:t>
      </w:r>
      <w:proofErr w:type="spellStart"/>
      <w:r w:rsidRPr="00F96A51">
        <w:rPr>
          <w:lang w:val="en-GB"/>
        </w:rPr>
        <w:t>upskilling</w:t>
      </w:r>
      <w:proofErr w:type="spellEnd"/>
      <w:r w:rsidRPr="00F96A51">
        <w:rPr>
          <w:lang w:val="en-GB"/>
        </w:rPr>
        <w:t xml:space="preserve"> pathways to be studied in greater detail will be defined.</w:t>
      </w:r>
    </w:p>
    <w:p w:rsidR="00F96A51" w:rsidRPr="00F96A51" w:rsidRDefault="00F96A51" w:rsidP="00F96A51">
      <w:pPr>
        <w:tabs>
          <w:tab w:val="left" w:pos="4455"/>
        </w:tabs>
        <w:ind w:left="851"/>
        <w:jc w:val="both"/>
        <w:rPr>
          <w:lang w:val="en-GB"/>
        </w:rPr>
      </w:pPr>
    </w:p>
    <w:p w:rsidR="00F96A51" w:rsidRPr="00F96A51" w:rsidRDefault="00F96A51" w:rsidP="00F96A51">
      <w:pPr>
        <w:tabs>
          <w:tab w:val="left" w:pos="4455"/>
        </w:tabs>
        <w:ind w:left="851"/>
        <w:jc w:val="both"/>
        <w:rPr>
          <w:b/>
          <w:lang w:val="en-GB"/>
        </w:rPr>
      </w:pPr>
      <w:r w:rsidRPr="00F96A51">
        <w:rPr>
          <w:b/>
          <w:lang w:val="en-GB"/>
        </w:rPr>
        <w:t>3.2 developing three case studies</w:t>
      </w:r>
    </w:p>
    <w:p w:rsidR="00F96A51" w:rsidRPr="00F96A51" w:rsidRDefault="00F96A51" w:rsidP="00F96A51">
      <w:pPr>
        <w:tabs>
          <w:tab w:val="left" w:pos="4455"/>
        </w:tabs>
        <w:ind w:left="851"/>
        <w:jc w:val="both"/>
        <w:rPr>
          <w:lang w:val="en-GB"/>
        </w:rPr>
      </w:pPr>
      <w:r w:rsidRPr="00F96A51">
        <w:rPr>
          <w:lang w:val="en-GB"/>
        </w:rPr>
        <w:t xml:space="preserve">Strengths and weaknesses of each pathway will be analysed by the research team which will consist of INAPP and FGB researchers as well as those in charge of the design and delivery of such pathways at the regional level. Consideration will be given also to existing opportunities for further development of such pathways such as current/ expected financial and administrative capacity.    </w:t>
      </w:r>
    </w:p>
    <w:p w:rsidR="00F96A51" w:rsidRPr="00F96A51" w:rsidRDefault="00F96A51" w:rsidP="00F96A51">
      <w:pPr>
        <w:tabs>
          <w:tab w:val="left" w:pos="4455"/>
        </w:tabs>
        <w:ind w:left="851"/>
        <w:jc w:val="both"/>
        <w:rPr>
          <w:lang w:val="en-GB"/>
        </w:rPr>
      </w:pPr>
    </w:p>
    <w:p w:rsidR="00F96A51" w:rsidRPr="00F96A51" w:rsidRDefault="00F96A51" w:rsidP="00F96A51">
      <w:pPr>
        <w:tabs>
          <w:tab w:val="left" w:pos="4455"/>
        </w:tabs>
        <w:ind w:left="851"/>
        <w:jc w:val="both"/>
        <w:rPr>
          <w:b/>
          <w:lang w:val="en-GB"/>
        </w:rPr>
      </w:pPr>
      <w:r w:rsidRPr="00F96A51">
        <w:rPr>
          <w:b/>
          <w:lang w:val="en-GB"/>
        </w:rPr>
        <w:t xml:space="preserve">3.3 Definition of a model for the effective implementation of the UP: </w:t>
      </w:r>
    </w:p>
    <w:p w:rsidR="00F96A51" w:rsidRPr="00F96A51" w:rsidRDefault="00F96A51" w:rsidP="00F96A51">
      <w:pPr>
        <w:tabs>
          <w:tab w:val="left" w:pos="4455"/>
        </w:tabs>
        <w:ind w:left="851"/>
        <w:jc w:val="both"/>
        <w:rPr>
          <w:lang w:val="en-GB"/>
        </w:rPr>
      </w:pPr>
      <w:r w:rsidRPr="00F96A51">
        <w:rPr>
          <w:lang w:val="en-GB"/>
        </w:rPr>
        <w:t xml:space="preserve">Based on the case study activity, a cross-institutional group of experts will work towards an agreement on a model of implementation of the UP, to be devised by combining information on existing regional practices already suitable to the UP (from the case studies) and ideas on how to improve these (findings from WP1 on EU recommendations, comparative analysis with the French system, other relevant literature exploited etc.)    </w:t>
      </w:r>
    </w:p>
    <w:p w:rsidR="00F96A51" w:rsidRPr="00F96A51" w:rsidRDefault="00F96A51" w:rsidP="00F96A51">
      <w:pPr>
        <w:tabs>
          <w:tab w:val="left" w:pos="4455"/>
        </w:tabs>
        <w:ind w:left="851"/>
        <w:jc w:val="both"/>
        <w:rPr>
          <w:i/>
          <w:lang w:val="en-GB"/>
        </w:rPr>
      </w:pPr>
    </w:p>
    <w:p w:rsidR="00F96A51" w:rsidRPr="00F96A51" w:rsidRDefault="00F96A51" w:rsidP="00F96A51">
      <w:pPr>
        <w:tabs>
          <w:tab w:val="left" w:pos="4455"/>
        </w:tabs>
        <w:ind w:left="851"/>
        <w:jc w:val="both"/>
        <w:rPr>
          <w:b/>
          <w:lang w:val="en-GB"/>
        </w:rPr>
      </w:pPr>
      <w:r w:rsidRPr="00F96A51">
        <w:rPr>
          <w:b/>
          <w:lang w:val="en-GB"/>
        </w:rPr>
        <w:t>3.4 Validation of a model for the effective implementation of the UP</w:t>
      </w:r>
    </w:p>
    <w:p w:rsidR="00F96A51" w:rsidRPr="00F96A51" w:rsidRDefault="00F96A51" w:rsidP="00F96A51">
      <w:pPr>
        <w:tabs>
          <w:tab w:val="left" w:pos="4455"/>
        </w:tabs>
        <w:ind w:left="851"/>
        <w:jc w:val="both"/>
        <w:rPr>
          <w:lang w:val="en-GB"/>
        </w:rPr>
      </w:pPr>
      <w:r w:rsidRPr="00F96A51">
        <w:rPr>
          <w:lang w:val="en-GB"/>
        </w:rPr>
        <w:t>Prior to the model dissemination, it is paramount to test the Model framework and contents against a broader scrutiny, particularly to ensure its transferability/</w:t>
      </w:r>
      <w:proofErr w:type="spellStart"/>
      <w:r w:rsidRPr="00F96A51">
        <w:rPr>
          <w:lang w:val="en-GB"/>
        </w:rPr>
        <w:t>replicability</w:t>
      </w:r>
      <w:proofErr w:type="spellEnd"/>
      <w:r w:rsidRPr="00F96A51">
        <w:rPr>
          <w:lang w:val="en-GB"/>
        </w:rPr>
        <w:t>/</w:t>
      </w:r>
      <w:proofErr w:type="spellStart"/>
      <w:r w:rsidRPr="00F96A51">
        <w:rPr>
          <w:lang w:val="en-GB"/>
        </w:rPr>
        <w:t>upscaling</w:t>
      </w:r>
      <w:proofErr w:type="spellEnd"/>
      <w:r w:rsidRPr="00F96A51">
        <w:rPr>
          <w:lang w:val="en-GB"/>
        </w:rPr>
        <w:t>. The main validation tool will be the organisation of 4 workshops, one in each territory covered by the action and one at the national level. Additional validation activities will consist in the application of a Delphi analysis.</w:t>
      </w:r>
    </w:p>
    <w:p w:rsidR="003F2E5D" w:rsidRPr="00F96A51" w:rsidRDefault="003F2E5D" w:rsidP="00A52BDB">
      <w:pPr>
        <w:tabs>
          <w:tab w:val="left" w:pos="4455"/>
        </w:tabs>
        <w:rPr>
          <w:lang w:val="en-GB"/>
        </w:rPr>
        <w:sectPr w:rsidR="003F2E5D" w:rsidRPr="00F96A51" w:rsidSect="00644A9B">
          <w:headerReference w:type="default" r:id="rId10"/>
          <w:footerReference w:type="default" r:id="rId11"/>
          <w:pgSz w:w="11906" w:h="16838"/>
          <w:pgMar w:top="720" w:right="720" w:bottom="720" w:left="720" w:header="340" w:footer="0" w:gutter="0"/>
          <w:cols w:space="708"/>
          <w:docGrid w:linePitch="360"/>
        </w:sectPr>
      </w:pPr>
    </w:p>
    <w:p w:rsidR="004E6461" w:rsidRPr="00860B72" w:rsidRDefault="00860B72" w:rsidP="008E5DE1">
      <w:pPr>
        <w:pStyle w:val="Titolo1"/>
        <w:rPr>
          <w:lang w:val="en-US"/>
        </w:rPr>
      </w:pPr>
      <w:bookmarkStart w:id="3" w:name="_Toc519072296"/>
      <w:r w:rsidRPr="00860B72">
        <w:rPr>
          <w:lang w:val="en-US"/>
        </w:rPr>
        <w:lastRenderedPageBreak/>
        <w:t>2</w:t>
      </w:r>
      <w:r w:rsidR="00601735" w:rsidRPr="00860B72">
        <w:rPr>
          <w:lang w:val="en-US"/>
        </w:rPr>
        <w:t xml:space="preserve">. </w:t>
      </w:r>
      <w:r w:rsidR="004E6461" w:rsidRPr="00860B72">
        <w:rPr>
          <w:lang w:val="en-US"/>
        </w:rPr>
        <w:t xml:space="preserve">RISK ASSESSMENT CHART  DEL PROGETTO </w:t>
      </w:r>
      <w:r w:rsidR="004E6461" w:rsidRPr="00860B72">
        <w:rPr>
          <w:lang w:val="en-US"/>
        </w:rPr>
        <w:t>E.QU.A.L.</w:t>
      </w:r>
      <w:bookmarkEnd w:id="3"/>
    </w:p>
    <w:p w:rsidR="00A52BDB" w:rsidRPr="00860B72" w:rsidRDefault="00A52BDB">
      <w:pPr>
        <w:rPr>
          <w:lang w:val="en-US"/>
        </w:rPr>
      </w:pPr>
    </w:p>
    <w:p w:rsidR="00AF6067" w:rsidRPr="00860B72" w:rsidRDefault="00AF6067" w:rsidP="00980BAF">
      <w:pPr>
        <w:tabs>
          <w:tab w:val="left" w:pos="4455"/>
        </w:tabs>
        <w:rPr>
          <w:b/>
          <w:lang w:val="en-US"/>
        </w:rPr>
      </w:pPr>
    </w:p>
    <w:p w:rsidR="00860B72" w:rsidRPr="00860B72" w:rsidRDefault="00860B72" w:rsidP="00980BAF">
      <w:pPr>
        <w:tabs>
          <w:tab w:val="left" w:pos="4455"/>
        </w:tabs>
        <w:rPr>
          <w:b/>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8"/>
        <w:gridCol w:w="2823"/>
        <w:gridCol w:w="1571"/>
        <w:gridCol w:w="1559"/>
        <w:gridCol w:w="4602"/>
      </w:tblGrid>
      <w:tr w:rsidR="0075618D"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75618D" w:rsidRPr="00C51EFA" w:rsidRDefault="0075618D" w:rsidP="00C51EFA">
            <w:pPr>
              <w:tabs>
                <w:tab w:val="left" w:pos="4455"/>
              </w:tabs>
              <w:jc w:val="center"/>
              <w:rPr>
                <w:b/>
                <w:color w:val="FFFFFF" w:themeColor="background1"/>
                <w:sz w:val="24"/>
              </w:rPr>
            </w:pPr>
            <w:r w:rsidRPr="00C51EFA">
              <w:rPr>
                <w:b/>
                <w:bCs/>
                <w:color w:val="FFFFFF" w:themeColor="background1"/>
                <w:sz w:val="24"/>
              </w:rPr>
              <w:t>ATTIVITÀ E AZIONI WP</w:t>
            </w:r>
          </w:p>
        </w:tc>
        <w:tc>
          <w:tcPr>
            <w:tcW w:w="2823"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75618D" w:rsidRPr="00C51EFA" w:rsidRDefault="0075618D" w:rsidP="00C51EFA">
            <w:pPr>
              <w:tabs>
                <w:tab w:val="left" w:pos="4455"/>
              </w:tabs>
              <w:jc w:val="center"/>
              <w:rPr>
                <w:b/>
                <w:color w:val="FFFFFF" w:themeColor="background1"/>
                <w:sz w:val="24"/>
              </w:rPr>
            </w:pPr>
            <w:r w:rsidRPr="00C51EFA">
              <w:rPr>
                <w:b/>
                <w:bCs/>
                <w:color w:val="FFFFFF" w:themeColor="background1"/>
                <w:sz w:val="24"/>
              </w:rPr>
              <w:t>RISCHI ATTUATIVI CONNESSI</w:t>
            </w:r>
          </w:p>
        </w:tc>
        <w:tc>
          <w:tcPr>
            <w:tcW w:w="1571"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75618D" w:rsidRPr="00C51EFA" w:rsidRDefault="0075618D" w:rsidP="00C51EFA">
            <w:pPr>
              <w:tabs>
                <w:tab w:val="left" w:pos="4455"/>
              </w:tabs>
              <w:jc w:val="center"/>
              <w:rPr>
                <w:b/>
                <w:color w:val="FFFFFF" w:themeColor="background1"/>
                <w:sz w:val="24"/>
              </w:rPr>
            </w:pPr>
            <w:r w:rsidRPr="00C51EFA">
              <w:rPr>
                <w:b/>
                <w:bCs/>
                <w:color w:val="FFFFFF" w:themeColor="background1"/>
                <w:sz w:val="24"/>
              </w:rPr>
              <w:t>PROBABILITÀ</w:t>
            </w:r>
          </w:p>
        </w:tc>
        <w:tc>
          <w:tcPr>
            <w:tcW w:w="1559"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75618D" w:rsidRPr="00C51EFA" w:rsidRDefault="0075618D" w:rsidP="00C51EFA">
            <w:pPr>
              <w:tabs>
                <w:tab w:val="left" w:pos="4455"/>
              </w:tabs>
              <w:jc w:val="center"/>
              <w:rPr>
                <w:b/>
                <w:color w:val="FFFFFF" w:themeColor="background1"/>
                <w:sz w:val="24"/>
              </w:rPr>
            </w:pPr>
            <w:r w:rsidRPr="00C51EFA">
              <w:rPr>
                <w:b/>
                <w:bCs/>
                <w:color w:val="FFFFFF" w:themeColor="background1"/>
                <w:sz w:val="24"/>
              </w:rPr>
              <w:t>MAGNITUDO</w:t>
            </w:r>
          </w:p>
        </w:tc>
        <w:tc>
          <w:tcPr>
            <w:tcW w:w="4602" w:type="dxa"/>
            <w:tcBorders>
              <w:top w:val="single" w:sz="4" w:space="0" w:color="auto"/>
              <w:left w:val="single" w:sz="4" w:space="0" w:color="auto"/>
              <w:bottom w:val="single" w:sz="4" w:space="0" w:color="auto"/>
              <w:right w:val="single" w:sz="4" w:space="0" w:color="auto"/>
            </w:tcBorders>
            <w:shd w:val="clear" w:color="auto" w:fill="0070C0"/>
            <w:vAlign w:val="center"/>
            <w:hideMark/>
          </w:tcPr>
          <w:p w:rsidR="0075618D" w:rsidRPr="00C51EFA" w:rsidRDefault="0075618D" w:rsidP="00C51EFA">
            <w:pPr>
              <w:tabs>
                <w:tab w:val="left" w:pos="4455"/>
              </w:tabs>
              <w:jc w:val="center"/>
              <w:rPr>
                <w:b/>
                <w:color w:val="FFFFFF" w:themeColor="background1"/>
                <w:sz w:val="24"/>
              </w:rPr>
            </w:pPr>
            <w:r w:rsidRPr="00C51EFA">
              <w:rPr>
                <w:b/>
                <w:bCs/>
                <w:color w:val="FFFFFF" w:themeColor="background1"/>
                <w:sz w:val="24"/>
              </w:rPr>
              <w:t>STRATEGIE O MISURE DI CONTRASTO</w:t>
            </w:r>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601735">
              <w:rPr>
                <w:b/>
                <w:bCs/>
                <w:i/>
              </w:rPr>
              <w:t xml:space="preserve">WP 1- </w:t>
            </w:r>
            <w:proofErr w:type="spellStart"/>
            <w:r w:rsidRPr="00601735">
              <w:rPr>
                <w:b/>
                <w:bCs/>
                <w:i/>
              </w:rPr>
              <w:t>Taking</w:t>
            </w:r>
            <w:proofErr w:type="spellEnd"/>
            <w:r w:rsidRPr="00601735">
              <w:rPr>
                <w:b/>
                <w:bCs/>
                <w:i/>
              </w:rPr>
              <w:t xml:space="preserve"> stock of </w:t>
            </w:r>
            <w:r w:rsidRPr="0075618D">
              <w:rPr>
                <w:b/>
                <w:bCs/>
                <w:i/>
                <w:lang w:val="en-US"/>
              </w:rPr>
              <w:t>existing Adult learning policies, measures and resources in Italy</w:t>
            </w:r>
          </w:p>
        </w:tc>
      </w:tr>
      <w:tr w:rsidR="002115D3" w:rsidRPr="0075618D" w:rsidTr="002115D3">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2115D3" w:rsidRPr="0088591E" w:rsidRDefault="002115D3" w:rsidP="00A302CA">
            <w:pPr>
              <w:tabs>
                <w:tab w:val="left" w:pos="4455"/>
              </w:tabs>
              <w:rPr>
                <w:rFonts w:cstheme="minorHAnsi"/>
                <w:i/>
                <w:lang w:val="en-US"/>
              </w:rPr>
            </w:pPr>
            <w:r w:rsidRPr="00EB7C67">
              <w:rPr>
                <w:rFonts w:cstheme="minorHAnsi"/>
                <w:b/>
                <w:bCs/>
                <w:i/>
                <w:lang w:val="en-US"/>
              </w:rPr>
              <w:t>Activity 1.1: profiling of ‘low-skilled individuals’ and relevant sub-categories</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2115D3" w:rsidRPr="00980BAF" w:rsidRDefault="002115D3"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2115D3" w:rsidRPr="00A302CA" w:rsidRDefault="002115D3" w:rsidP="00A44D01">
            <w:pPr>
              <w:tabs>
                <w:tab w:val="left" w:pos="4455"/>
              </w:tabs>
              <w:jc w:val="center"/>
              <w:rPr>
                <w:b/>
                <w:bCs/>
              </w:rPr>
            </w:pPr>
            <w:r w:rsidRPr="00A302CA">
              <w:rPr>
                <w:b/>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2115D3" w:rsidRPr="00A302CA" w:rsidRDefault="002115D3" w:rsidP="00A44D01">
            <w:pPr>
              <w:tabs>
                <w:tab w:val="left" w:pos="4455"/>
              </w:tabs>
              <w:jc w:val="center"/>
              <w:rPr>
                <w:b/>
                <w:bCs/>
              </w:rPr>
            </w:pPr>
            <w:r w:rsidRPr="00A302CA">
              <w:rPr>
                <w:b/>
                <w:bCs/>
              </w:rPr>
              <w:t>---</w:t>
            </w:r>
          </w:p>
        </w:tc>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2115D3" w:rsidRPr="00980BAF" w:rsidRDefault="002115D3" w:rsidP="00A44D01">
            <w:pPr>
              <w:tabs>
                <w:tab w:val="left" w:pos="4455"/>
              </w:tabs>
              <w:jc w:val="center"/>
              <w:rPr>
                <w:bCs/>
              </w:rPr>
            </w:pPr>
            <w:r>
              <w:rPr>
                <w:bCs/>
              </w:rPr>
              <w:t>---</w:t>
            </w:r>
          </w:p>
        </w:tc>
      </w:tr>
      <w:tr w:rsidR="0075618D" w:rsidRPr="002115D3" w:rsidTr="00860B72">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8591E" w:rsidRDefault="0075618D" w:rsidP="00A302CA">
            <w:pPr>
              <w:tabs>
                <w:tab w:val="left" w:pos="4455"/>
              </w:tabs>
              <w:rPr>
                <w:rFonts w:cstheme="minorHAnsi"/>
                <w:i/>
                <w:lang w:val="en-US"/>
              </w:rPr>
            </w:pPr>
            <w:r w:rsidRPr="00EB7C67">
              <w:rPr>
                <w:rFonts w:cstheme="minorHAnsi"/>
                <w:b/>
                <w:bCs/>
                <w:i/>
                <w:lang w:val="en-US"/>
              </w:rPr>
              <w:t>Activity 1.2: Mapping of existing policies, measures and resources</w:t>
            </w:r>
          </w:p>
        </w:tc>
        <w:tc>
          <w:tcPr>
            <w:tcW w:w="2823"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2115D3" w:rsidP="00B65511">
            <w:pPr>
              <w:tabs>
                <w:tab w:val="left" w:pos="4455"/>
              </w:tabs>
              <w:jc w:val="both"/>
              <w:rPr>
                <w:bCs/>
              </w:rPr>
            </w:pPr>
            <w:r w:rsidRPr="00860B72">
              <w:rPr>
                <w:bCs/>
              </w:rPr>
              <w:t xml:space="preserve">Per quanto attiene </w:t>
            </w:r>
            <w:proofErr w:type="spellStart"/>
            <w:r w:rsidRPr="00860B72">
              <w:rPr>
                <w:bCs/>
              </w:rPr>
              <w:t>Policies</w:t>
            </w:r>
            <w:proofErr w:type="spellEnd"/>
            <w:r w:rsidRPr="00860B72">
              <w:rPr>
                <w:bCs/>
              </w:rPr>
              <w:t xml:space="preserve"> e </w:t>
            </w:r>
            <w:proofErr w:type="spellStart"/>
            <w:r w:rsidRPr="00860B72">
              <w:rPr>
                <w:bCs/>
              </w:rPr>
              <w:t>measures</w:t>
            </w:r>
            <w:proofErr w:type="spellEnd"/>
            <w:r w:rsidRPr="00860B72">
              <w:rPr>
                <w:bCs/>
              </w:rPr>
              <w:t>, non si rintracciano elementi di rischio, dal momento che le informazioni sono di agevole reperimento. In merito alle risorse dedicate, invece, potrebbero sorgere difficoltà nell’assicurare l’esaustività dell’esercizio e dei suoi esiti, in considerazione della grande varianza tra le fonti di provenienza.</w:t>
            </w:r>
          </w:p>
        </w:tc>
        <w:tc>
          <w:tcPr>
            <w:tcW w:w="1571"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2115D3" w:rsidP="00A302CA">
            <w:pPr>
              <w:tabs>
                <w:tab w:val="left" w:pos="4455"/>
              </w:tabs>
              <w:jc w:val="center"/>
              <w:rPr>
                <w:bCs/>
              </w:rPr>
            </w:pPr>
            <w:r w:rsidRPr="00860B72">
              <w:rPr>
                <w:bCs/>
              </w:rPr>
              <w:t>2</w:t>
            </w:r>
          </w:p>
        </w:tc>
        <w:tc>
          <w:tcPr>
            <w:tcW w:w="1559"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2115D3" w:rsidP="00A302CA">
            <w:pPr>
              <w:tabs>
                <w:tab w:val="left" w:pos="4455"/>
              </w:tabs>
              <w:jc w:val="center"/>
              <w:rPr>
                <w:bCs/>
              </w:rPr>
            </w:pPr>
            <w:r w:rsidRPr="00860B72">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C000"/>
            <w:vAlign w:val="center"/>
          </w:tcPr>
          <w:p w:rsidR="00860B72" w:rsidRDefault="002115D3" w:rsidP="002115D3">
            <w:pPr>
              <w:tabs>
                <w:tab w:val="left" w:pos="4455"/>
              </w:tabs>
              <w:rPr>
                <w:bCs/>
              </w:rPr>
            </w:pPr>
            <w:r w:rsidRPr="00860B72">
              <w:rPr>
                <w:bCs/>
              </w:rPr>
              <w:t xml:space="preserve">Per garantire la massima approssimazione utile, l’azione di individuazione delle risorse allocate </w:t>
            </w:r>
            <w:r w:rsidR="00860B72">
              <w:rPr>
                <w:bCs/>
              </w:rPr>
              <w:t>per il finanziamento di</w:t>
            </w:r>
            <w:r w:rsidRPr="00860B72">
              <w:rPr>
                <w:bCs/>
              </w:rPr>
              <w:t xml:space="preserve"> </w:t>
            </w:r>
            <w:proofErr w:type="spellStart"/>
            <w:r w:rsidRPr="00860B72">
              <w:rPr>
                <w:bCs/>
                <w:i/>
              </w:rPr>
              <w:t>policies</w:t>
            </w:r>
            <w:proofErr w:type="spellEnd"/>
            <w:r w:rsidRPr="00860B72">
              <w:rPr>
                <w:bCs/>
              </w:rPr>
              <w:t xml:space="preserve"> pertinenti e rilevanti si focalizzerà: </w:t>
            </w:r>
          </w:p>
          <w:p w:rsidR="00860B72" w:rsidRDefault="00860B72" w:rsidP="002115D3">
            <w:pPr>
              <w:tabs>
                <w:tab w:val="left" w:pos="4455"/>
              </w:tabs>
              <w:rPr>
                <w:bCs/>
              </w:rPr>
            </w:pPr>
          </w:p>
          <w:p w:rsidR="002115D3" w:rsidRPr="00860B72" w:rsidRDefault="002115D3" w:rsidP="00860B72">
            <w:pPr>
              <w:pStyle w:val="Paragrafoelenco"/>
              <w:numPr>
                <w:ilvl w:val="0"/>
                <w:numId w:val="4"/>
              </w:numPr>
              <w:tabs>
                <w:tab w:val="left" w:pos="4455"/>
              </w:tabs>
              <w:ind w:left="317"/>
              <w:rPr>
                <w:bCs/>
              </w:rPr>
            </w:pPr>
            <w:r w:rsidRPr="00860B72">
              <w:rPr>
                <w:bCs/>
              </w:rPr>
              <w:t>sui bilanci istituzionali e sull’analisi dei capitoli riguardanti risorse umane e dotazioni strutturali e infrastrutturali di CPI e CPIA</w:t>
            </w:r>
            <w:r w:rsidR="00860B72">
              <w:rPr>
                <w:bCs/>
              </w:rPr>
              <w:t xml:space="preserve"> (fonti MINLAV e MIUR)</w:t>
            </w:r>
            <w:r w:rsidRPr="00860B72">
              <w:rPr>
                <w:bCs/>
              </w:rPr>
              <w:t>;</w:t>
            </w:r>
          </w:p>
          <w:p w:rsidR="002115D3" w:rsidRPr="00860B72" w:rsidRDefault="002115D3" w:rsidP="00860B72">
            <w:pPr>
              <w:pStyle w:val="Paragrafoelenco"/>
              <w:numPr>
                <w:ilvl w:val="0"/>
                <w:numId w:val="4"/>
              </w:numPr>
              <w:tabs>
                <w:tab w:val="left" w:pos="4455"/>
              </w:tabs>
              <w:ind w:left="317"/>
              <w:rPr>
                <w:bCs/>
              </w:rPr>
            </w:pPr>
            <w:r w:rsidRPr="00860B72">
              <w:rPr>
                <w:bCs/>
              </w:rPr>
              <w:t>sugli avvisi dei principali Fondi Interprofessionali destinati a finanziare esplicitamente l’aggiornamen</w:t>
            </w:r>
            <w:r w:rsidR="00860B72" w:rsidRPr="00860B72">
              <w:rPr>
                <w:bCs/>
              </w:rPr>
              <w:t>to e la riqualificazione dei la</w:t>
            </w:r>
            <w:r w:rsidRPr="00860B72">
              <w:rPr>
                <w:bCs/>
              </w:rPr>
              <w:t xml:space="preserve">voratori rispetto alle </w:t>
            </w:r>
            <w:proofErr w:type="spellStart"/>
            <w:r w:rsidRPr="00860B72">
              <w:rPr>
                <w:bCs/>
              </w:rPr>
              <w:t>basic</w:t>
            </w:r>
            <w:proofErr w:type="spellEnd"/>
            <w:r w:rsidRPr="00860B72">
              <w:rPr>
                <w:bCs/>
              </w:rPr>
              <w:t xml:space="preserve"> </w:t>
            </w:r>
            <w:proofErr w:type="spellStart"/>
            <w:r w:rsidRPr="00860B72">
              <w:rPr>
                <w:bCs/>
              </w:rPr>
              <w:t>skills</w:t>
            </w:r>
            <w:proofErr w:type="spellEnd"/>
            <w:r w:rsidRPr="00860B72">
              <w:rPr>
                <w:bCs/>
              </w:rPr>
              <w:t>;</w:t>
            </w:r>
          </w:p>
          <w:p w:rsidR="002115D3" w:rsidRPr="00860B72" w:rsidRDefault="002115D3" w:rsidP="00860B72">
            <w:pPr>
              <w:pStyle w:val="Paragrafoelenco"/>
              <w:numPr>
                <w:ilvl w:val="0"/>
                <w:numId w:val="4"/>
              </w:numPr>
              <w:tabs>
                <w:tab w:val="left" w:pos="4455"/>
              </w:tabs>
              <w:ind w:left="317"/>
              <w:rPr>
                <w:bCs/>
              </w:rPr>
            </w:pPr>
            <w:r w:rsidRPr="00860B72">
              <w:rPr>
                <w:bCs/>
              </w:rPr>
              <w:t>sui PON e sui POR (in quest’ultimo caso delle Regioni Partner del progetto), con particolare riferimento alle risorse allocate su specifiche misure riguardanti OT8, OT9, OT10 e OT11;</w:t>
            </w:r>
          </w:p>
          <w:p w:rsidR="0075618D" w:rsidRPr="00860B72" w:rsidRDefault="002115D3" w:rsidP="00860B72">
            <w:pPr>
              <w:pStyle w:val="Paragrafoelenco"/>
              <w:numPr>
                <w:ilvl w:val="0"/>
                <w:numId w:val="4"/>
              </w:numPr>
              <w:tabs>
                <w:tab w:val="left" w:pos="4455"/>
              </w:tabs>
              <w:ind w:left="317"/>
              <w:rPr>
                <w:bCs/>
              </w:rPr>
            </w:pPr>
            <w:r w:rsidRPr="00860B72">
              <w:rPr>
                <w:bCs/>
              </w:rPr>
              <w:t>sui valori dei progetti Erasmus+ - educazione degli adulti – oi cui contenuti appaiano pertinenti e rilevanti</w:t>
            </w:r>
            <w:r w:rsidR="00860B72" w:rsidRPr="00860B72">
              <w:rPr>
                <w:bCs/>
              </w:rPr>
              <w:t xml:space="preserve"> gli obiettivi di UP.</w:t>
            </w:r>
            <w:r w:rsidRPr="00860B72">
              <w:rPr>
                <w:bCs/>
              </w:rPr>
              <w:t xml:space="preserve">  </w:t>
            </w:r>
          </w:p>
        </w:tc>
      </w:tr>
      <w:tr w:rsidR="00601735"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601735" w:rsidRPr="0088591E" w:rsidRDefault="00601735" w:rsidP="00A302CA">
            <w:pPr>
              <w:tabs>
                <w:tab w:val="left" w:pos="4455"/>
              </w:tabs>
              <w:rPr>
                <w:rFonts w:cstheme="minorHAnsi"/>
                <w:i/>
                <w:lang w:val="en-US"/>
              </w:rPr>
            </w:pPr>
            <w:r w:rsidRPr="002115D3">
              <w:rPr>
                <w:rFonts w:cstheme="minorHAnsi"/>
                <w:b/>
                <w:bCs/>
                <w:i/>
              </w:rPr>
              <w:lastRenderedPageBreak/>
              <w:t xml:space="preserve">Activity 1.3: </w:t>
            </w:r>
            <w:proofErr w:type="spellStart"/>
            <w:r w:rsidRPr="002115D3">
              <w:rPr>
                <w:rFonts w:cstheme="minorHAnsi"/>
                <w:b/>
                <w:bCs/>
                <w:i/>
              </w:rPr>
              <w:t>Rapid</w:t>
            </w:r>
            <w:proofErr w:type="spellEnd"/>
            <w:r w:rsidRPr="002115D3">
              <w:rPr>
                <w:rFonts w:cstheme="minorHAnsi"/>
                <w:b/>
                <w:bCs/>
                <w:i/>
              </w:rPr>
              <w:t xml:space="preserve"> </w:t>
            </w:r>
            <w:proofErr w:type="spellStart"/>
            <w:r w:rsidRPr="002115D3">
              <w:rPr>
                <w:rFonts w:cstheme="minorHAnsi"/>
                <w:b/>
                <w:bCs/>
                <w:i/>
              </w:rPr>
              <w:t>assessment</w:t>
            </w:r>
            <w:proofErr w:type="spellEnd"/>
            <w:r w:rsidRPr="002115D3">
              <w:rPr>
                <w:rFonts w:cstheme="minorHAnsi"/>
                <w:b/>
                <w:bCs/>
                <w:i/>
              </w:rPr>
              <w:t xml:space="preserve"> of </w:t>
            </w:r>
            <w:proofErr w:type="spellStart"/>
            <w:r w:rsidRPr="002115D3">
              <w:rPr>
                <w:rFonts w:cstheme="minorHAnsi"/>
                <w:b/>
                <w:bCs/>
                <w:i/>
              </w:rPr>
              <w:t>European</w:t>
            </w:r>
            <w:proofErr w:type="spellEnd"/>
            <w:r w:rsidRPr="002115D3">
              <w:rPr>
                <w:rFonts w:cstheme="minorHAnsi"/>
                <w:b/>
                <w:bCs/>
                <w:i/>
              </w:rPr>
              <w:t xml:space="preserve"> </w:t>
            </w:r>
            <w:proofErr w:type="spellStart"/>
            <w:r w:rsidRPr="002115D3">
              <w:rPr>
                <w:rFonts w:cstheme="minorHAnsi"/>
                <w:b/>
                <w:bCs/>
                <w:i/>
              </w:rPr>
              <w:t>policies</w:t>
            </w:r>
            <w:proofErr w:type="spellEnd"/>
            <w:r w:rsidRPr="002115D3">
              <w:rPr>
                <w:rFonts w:cstheme="minorHAnsi"/>
                <w:b/>
                <w:bCs/>
                <w:i/>
              </w:rPr>
              <w:t xml:space="preserve"> and best </w:t>
            </w:r>
            <w:proofErr w:type="spellStart"/>
            <w:r w:rsidRPr="002115D3">
              <w:rPr>
                <w:rFonts w:cstheme="minorHAnsi"/>
                <w:b/>
                <w:bCs/>
                <w:i/>
              </w:rPr>
              <w:t>practices</w:t>
            </w:r>
            <w:proofErr w:type="spellEnd"/>
            <w:r w:rsidRPr="002115D3">
              <w:rPr>
                <w:rFonts w:cstheme="minorHAnsi"/>
                <w:b/>
                <w:bCs/>
                <w:i/>
              </w:rPr>
              <w:t xml:space="preserve"> and </w:t>
            </w:r>
            <w:proofErr w:type="spellStart"/>
            <w:r w:rsidRPr="002115D3">
              <w:rPr>
                <w:rFonts w:cstheme="minorHAnsi"/>
                <w:b/>
                <w:bCs/>
                <w:i/>
              </w:rPr>
              <w:t>benchmarking</w:t>
            </w:r>
            <w:proofErr w:type="spellEnd"/>
            <w:r w:rsidRPr="002115D3">
              <w:rPr>
                <w:rFonts w:cstheme="minorHAnsi"/>
                <w:b/>
                <w:bCs/>
                <w:i/>
              </w:rPr>
              <w:t xml:space="preserve"> </w:t>
            </w:r>
            <w:proofErr w:type="spellStart"/>
            <w:r w:rsidRPr="002115D3">
              <w:rPr>
                <w:rFonts w:cstheme="minorHAnsi"/>
                <w:b/>
                <w:bCs/>
                <w:i/>
              </w:rPr>
              <w:t>analysis</w:t>
            </w:r>
            <w:proofErr w:type="spellEnd"/>
            <w:r w:rsidRPr="002115D3">
              <w:rPr>
                <w:rFonts w:cstheme="minorHAnsi"/>
                <w:b/>
                <w:bCs/>
                <w:i/>
              </w:rPr>
              <w:t xml:space="preserve"> with the </w:t>
            </w:r>
            <w:proofErr w:type="spellStart"/>
            <w:r w:rsidRPr="002115D3">
              <w:rPr>
                <w:rFonts w:cstheme="minorHAnsi"/>
                <w:b/>
                <w:bCs/>
                <w:i/>
              </w:rPr>
              <w:t>ca</w:t>
            </w:r>
            <w:proofErr w:type="spellEnd"/>
            <w:r w:rsidRPr="00EB7C67">
              <w:rPr>
                <w:rFonts w:cstheme="minorHAnsi"/>
                <w:b/>
                <w:bCs/>
                <w:i/>
                <w:lang w:val="en-US"/>
              </w:rPr>
              <w:t>se of France</w:t>
            </w:r>
          </w:p>
        </w:tc>
        <w:tc>
          <w:tcPr>
            <w:tcW w:w="2823"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601735" w:rsidRPr="00A302CA" w:rsidRDefault="00601735" w:rsidP="00A302CA">
            <w:pPr>
              <w:tabs>
                <w:tab w:val="left" w:pos="4455"/>
              </w:tabs>
              <w:jc w:val="center"/>
              <w:rPr>
                <w:b/>
                <w:bCs/>
              </w:rPr>
            </w:pPr>
            <w:r w:rsidRPr="00A302CA">
              <w:rPr>
                <w:b/>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601735" w:rsidRPr="00A302CA" w:rsidRDefault="00601735" w:rsidP="00A302CA">
            <w:pPr>
              <w:tabs>
                <w:tab w:val="left" w:pos="4455"/>
              </w:tabs>
              <w:jc w:val="center"/>
              <w:rPr>
                <w:b/>
                <w:bCs/>
              </w:rPr>
            </w:pPr>
            <w:r w:rsidRPr="00A302CA">
              <w:rPr>
                <w:b/>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r>
      <w:tr w:rsidR="0075618D" w:rsidRPr="00860B72" w:rsidTr="00860B72">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75618D" w:rsidRPr="0088591E" w:rsidRDefault="0075618D" w:rsidP="00A302CA">
            <w:pPr>
              <w:tabs>
                <w:tab w:val="left" w:pos="4455"/>
              </w:tabs>
              <w:rPr>
                <w:rFonts w:cstheme="minorHAnsi"/>
                <w:i/>
                <w:lang w:val="en-US"/>
              </w:rPr>
            </w:pPr>
            <w:r w:rsidRPr="00EB7C67">
              <w:rPr>
                <w:rFonts w:cstheme="minorHAnsi"/>
                <w:b/>
                <w:bCs/>
                <w:i/>
                <w:lang w:val="en-US"/>
              </w:rPr>
              <w:t>Activity 1.4: Launch event of the action</w:t>
            </w:r>
          </w:p>
        </w:tc>
        <w:tc>
          <w:tcPr>
            <w:tcW w:w="2823"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860B72" w:rsidP="00860B72">
            <w:pPr>
              <w:tabs>
                <w:tab w:val="left" w:pos="4455"/>
              </w:tabs>
              <w:jc w:val="both"/>
              <w:rPr>
                <w:bCs/>
              </w:rPr>
            </w:pPr>
            <w:r w:rsidRPr="00860B72">
              <w:rPr>
                <w:bCs/>
              </w:rPr>
              <w:t xml:space="preserve">Il ritardo nella sottoscrizione della convenzione, con validità retroattiva non ha consentito di realizzare il programmato evento di lancio. </w:t>
            </w:r>
          </w:p>
        </w:tc>
        <w:tc>
          <w:tcPr>
            <w:tcW w:w="1571"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601735" w:rsidP="00860B72">
            <w:pPr>
              <w:tabs>
                <w:tab w:val="left" w:pos="4455"/>
              </w:tabs>
              <w:jc w:val="center"/>
              <w:rPr>
                <w:bCs/>
              </w:rPr>
            </w:pPr>
            <w:r w:rsidRPr="00860B72">
              <w:rPr>
                <w:bCs/>
              </w:rPr>
              <w:t>3</w:t>
            </w:r>
          </w:p>
        </w:tc>
        <w:tc>
          <w:tcPr>
            <w:tcW w:w="1559"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601735" w:rsidP="00860B72">
            <w:pPr>
              <w:tabs>
                <w:tab w:val="left" w:pos="4455"/>
              </w:tabs>
              <w:jc w:val="center"/>
              <w:rPr>
                <w:bCs/>
              </w:rPr>
            </w:pPr>
            <w:r w:rsidRPr="00860B72">
              <w:rPr>
                <w:bCs/>
              </w:rPr>
              <w:t>2</w:t>
            </w:r>
          </w:p>
        </w:tc>
        <w:tc>
          <w:tcPr>
            <w:tcW w:w="4602" w:type="dxa"/>
            <w:tcBorders>
              <w:top w:val="single" w:sz="4" w:space="0" w:color="auto"/>
              <w:left w:val="single" w:sz="4" w:space="0" w:color="auto"/>
              <w:bottom w:val="single" w:sz="4" w:space="0" w:color="auto"/>
              <w:right w:val="single" w:sz="4" w:space="0" w:color="auto"/>
            </w:tcBorders>
            <w:shd w:val="clear" w:color="auto" w:fill="FFC000"/>
            <w:vAlign w:val="center"/>
          </w:tcPr>
          <w:p w:rsidR="00860B72" w:rsidRDefault="00860B72" w:rsidP="00860B72">
            <w:pPr>
              <w:tabs>
                <w:tab w:val="left" w:pos="4455"/>
              </w:tabs>
              <w:jc w:val="both"/>
              <w:rPr>
                <w:bCs/>
              </w:rPr>
            </w:pPr>
            <w:r w:rsidRPr="00860B72">
              <w:rPr>
                <w:bCs/>
              </w:rPr>
              <w:t>Accelerazione nell’uso di canali informativi quali website  brochure e newsletter.</w:t>
            </w:r>
          </w:p>
          <w:p w:rsidR="00860B72" w:rsidRPr="00860B72" w:rsidRDefault="00860B72" w:rsidP="00860B72">
            <w:pPr>
              <w:tabs>
                <w:tab w:val="left" w:pos="4455"/>
              </w:tabs>
              <w:jc w:val="both"/>
              <w:rPr>
                <w:bCs/>
              </w:rPr>
            </w:pPr>
          </w:p>
          <w:p w:rsidR="00860B72" w:rsidRDefault="00860B72" w:rsidP="00860B72">
            <w:pPr>
              <w:tabs>
                <w:tab w:val="left" w:pos="4455"/>
              </w:tabs>
              <w:jc w:val="both"/>
              <w:rPr>
                <w:bCs/>
              </w:rPr>
            </w:pPr>
            <w:r w:rsidRPr="00860B72">
              <w:rPr>
                <w:bCs/>
              </w:rPr>
              <w:t xml:space="preserve">Partecipazione ad eventi nazionali e internazionali </w:t>
            </w:r>
            <w:r>
              <w:rPr>
                <w:bCs/>
              </w:rPr>
              <w:t xml:space="preserve">– organizzati da terzi - </w:t>
            </w:r>
            <w:r w:rsidRPr="00860B72">
              <w:rPr>
                <w:bCs/>
              </w:rPr>
              <w:t>con contributi informativi relativi all’avvio dell’progetto.</w:t>
            </w:r>
          </w:p>
          <w:p w:rsidR="00860B72" w:rsidRPr="00860B72" w:rsidRDefault="00860B72" w:rsidP="00860B72">
            <w:pPr>
              <w:tabs>
                <w:tab w:val="left" w:pos="4455"/>
              </w:tabs>
              <w:jc w:val="both"/>
              <w:rPr>
                <w:bCs/>
              </w:rPr>
            </w:pPr>
          </w:p>
          <w:p w:rsidR="0075618D" w:rsidRPr="00860B72" w:rsidRDefault="00860B72" w:rsidP="00860B72">
            <w:pPr>
              <w:tabs>
                <w:tab w:val="left" w:pos="4455"/>
              </w:tabs>
              <w:jc w:val="both"/>
              <w:rPr>
                <w:bCs/>
              </w:rPr>
            </w:pPr>
            <w:r w:rsidRPr="00860B72">
              <w:rPr>
                <w:bCs/>
              </w:rPr>
              <w:t xml:space="preserve"> Attività da ripianificare, compresa la natura dell’output relativo (</w:t>
            </w:r>
            <w:proofErr w:type="spellStart"/>
            <w:r w:rsidRPr="00860B72">
              <w:rPr>
                <w:bCs/>
              </w:rPr>
              <w:t>Launch</w:t>
            </w:r>
            <w:proofErr w:type="spellEnd"/>
            <w:r w:rsidRPr="00860B72">
              <w:rPr>
                <w:bCs/>
              </w:rPr>
              <w:t xml:space="preserve"> </w:t>
            </w:r>
            <w:proofErr w:type="spellStart"/>
            <w:r w:rsidRPr="00860B72">
              <w:rPr>
                <w:bCs/>
              </w:rPr>
              <w:t>event</w:t>
            </w:r>
            <w:proofErr w:type="spellEnd"/>
            <w:r w:rsidRPr="00860B72">
              <w:rPr>
                <w:bCs/>
              </w:rPr>
              <w:t xml:space="preserve">), oggetto II incontro </w:t>
            </w:r>
            <w:proofErr w:type="spellStart"/>
            <w:r w:rsidRPr="00860B72">
              <w:rPr>
                <w:bCs/>
              </w:rPr>
              <w:t>steering</w:t>
            </w:r>
            <w:proofErr w:type="spellEnd"/>
            <w:r w:rsidRPr="00860B72">
              <w:rPr>
                <w:bCs/>
              </w:rPr>
              <w:t xml:space="preserve"> </w:t>
            </w:r>
            <w:proofErr w:type="spellStart"/>
            <w:r w:rsidRPr="00860B72">
              <w:rPr>
                <w:bCs/>
              </w:rPr>
              <w:t>committee</w:t>
            </w:r>
            <w:proofErr w:type="spellEnd"/>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75618D">
              <w:rPr>
                <w:b/>
                <w:bCs/>
                <w:i/>
                <w:lang w:val="en-US"/>
              </w:rPr>
              <w:t xml:space="preserve">WP2 - </w:t>
            </w:r>
            <w:r w:rsidRPr="0075618D">
              <w:rPr>
                <w:b/>
                <w:bCs/>
                <w:i/>
                <w:iCs/>
                <w:lang w:val="en-US"/>
              </w:rPr>
              <w:t>TARGETING: A MODEL TO IDENTIFY PRIORITY GROUPS FOR THE IMPLEMENTATION OF UP</w:t>
            </w:r>
          </w:p>
        </w:tc>
      </w:tr>
      <w:tr w:rsidR="00601735"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601735" w:rsidRPr="0088591E" w:rsidRDefault="00601735" w:rsidP="00A302CA">
            <w:pPr>
              <w:tabs>
                <w:tab w:val="left" w:pos="4455"/>
              </w:tabs>
              <w:rPr>
                <w:rFonts w:cstheme="minorHAnsi"/>
                <w:bCs/>
                <w:i/>
                <w:lang w:val="en-US"/>
              </w:rPr>
            </w:pPr>
            <w:r w:rsidRPr="00FE5A98">
              <w:rPr>
                <w:rFonts w:cstheme="minorHAnsi"/>
                <w:b/>
                <w:bCs/>
                <w:i/>
                <w:lang w:val="en-US"/>
              </w:rPr>
              <w:t>Activity 2.1: Analysis of data and methodology of measurement (PIAAC, ESS)</w:t>
            </w:r>
          </w:p>
        </w:tc>
        <w:tc>
          <w:tcPr>
            <w:tcW w:w="2823"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r>
      <w:tr w:rsidR="00A302CA"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A302CA" w:rsidRPr="0088591E" w:rsidRDefault="00A302CA" w:rsidP="00A302CA">
            <w:pPr>
              <w:tabs>
                <w:tab w:val="left" w:pos="4455"/>
              </w:tabs>
              <w:rPr>
                <w:rFonts w:cstheme="minorHAnsi"/>
                <w:bCs/>
                <w:i/>
                <w:lang w:val="en-US"/>
              </w:rPr>
            </w:pPr>
            <w:r w:rsidRPr="00FE5A98">
              <w:rPr>
                <w:rFonts w:cstheme="minorHAnsi"/>
                <w:b/>
                <w:bCs/>
                <w:i/>
                <w:lang w:val="en-US"/>
              </w:rPr>
              <w:t xml:space="preserve">Activity 2.2: Identification of </w:t>
            </w:r>
            <w:proofErr w:type="spellStart"/>
            <w:r w:rsidRPr="00FE5A98">
              <w:rPr>
                <w:rFonts w:cstheme="minorHAnsi"/>
                <w:b/>
                <w:bCs/>
                <w:i/>
                <w:lang w:val="en-US"/>
              </w:rPr>
              <w:t>labour</w:t>
            </w:r>
            <w:proofErr w:type="spellEnd"/>
            <w:r w:rsidRPr="00FE5A98">
              <w:rPr>
                <w:rFonts w:cstheme="minorHAnsi"/>
                <w:b/>
                <w:bCs/>
                <w:i/>
                <w:lang w:val="en-US"/>
              </w:rPr>
              <w:t xml:space="preserve"> market relevant skills needs and learning needs</w:t>
            </w:r>
          </w:p>
        </w:tc>
        <w:tc>
          <w:tcPr>
            <w:tcW w:w="2823" w:type="dxa"/>
            <w:tcBorders>
              <w:top w:val="single" w:sz="4" w:space="0" w:color="auto"/>
              <w:left w:val="single" w:sz="4" w:space="0" w:color="auto"/>
              <w:bottom w:val="single" w:sz="4" w:space="0" w:color="auto"/>
              <w:right w:val="single" w:sz="4" w:space="0" w:color="auto"/>
            </w:tcBorders>
            <w:vAlign w:val="center"/>
          </w:tcPr>
          <w:p w:rsidR="00A302CA" w:rsidRPr="00980BAF" w:rsidRDefault="00A302CA"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A302CA" w:rsidRPr="00980BAF" w:rsidRDefault="00A302CA" w:rsidP="00A44D01">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A302CA" w:rsidRPr="00980BAF" w:rsidRDefault="00A302CA" w:rsidP="00A44D01">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A302CA" w:rsidRPr="00980BAF" w:rsidRDefault="00A302CA" w:rsidP="00A44D01">
            <w:pPr>
              <w:tabs>
                <w:tab w:val="left" w:pos="4455"/>
              </w:tabs>
              <w:jc w:val="center"/>
              <w:rPr>
                <w:bCs/>
              </w:rPr>
            </w:pPr>
            <w:r>
              <w:rPr>
                <w:bCs/>
              </w:rPr>
              <w:t>---</w:t>
            </w:r>
          </w:p>
        </w:tc>
      </w:tr>
      <w:tr w:rsidR="00601735"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601735" w:rsidRPr="0088591E" w:rsidRDefault="00601735" w:rsidP="00A302CA">
            <w:pPr>
              <w:tabs>
                <w:tab w:val="left" w:pos="4455"/>
              </w:tabs>
              <w:rPr>
                <w:rFonts w:cstheme="minorHAnsi"/>
                <w:bCs/>
                <w:i/>
                <w:lang w:val="en-US"/>
              </w:rPr>
            </w:pPr>
            <w:r w:rsidRPr="00FE5A98">
              <w:rPr>
                <w:rFonts w:cstheme="minorHAnsi"/>
                <w:b/>
                <w:bCs/>
                <w:i/>
                <w:lang w:val="en-US"/>
              </w:rPr>
              <w:t>Activity 2.3: Scenario analysis, including social innovation and skills-biased technical change</w:t>
            </w:r>
          </w:p>
        </w:tc>
        <w:tc>
          <w:tcPr>
            <w:tcW w:w="2823"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302CA">
            <w:pPr>
              <w:tabs>
                <w:tab w:val="left" w:pos="4455"/>
              </w:tabs>
              <w:jc w:val="center"/>
              <w:rPr>
                <w:bCs/>
              </w:rPr>
            </w:pPr>
            <w:r>
              <w:rPr>
                <w:bCs/>
              </w:rPr>
              <w:t>---</w:t>
            </w:r>
          </w:p>
        </w:tc>
      </w:tr>
      <w:tr w:rsidR="0075618D" w:rsidRPr="00601735"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8591E" w:rsidRDefault="0075618D" w:rsidP="00A302CA">
            <w:pPr>
              <w:tabs>
                <w:tab w:val="left" w:pos="4455"/>
              </w:tabs>
              <w:rPr>
                <w:rFonts w:cstheme="minorHAnsi"/>
                <w:bCs/>
                <w:i/>
                <w:lang w:val="en-US"/>
              </w:rPr>
            </w:pPr>
            <w:r w:rsidRPr="00FE5A98">
              <w:rPr>
                <w:rFonts w:cstheme="minorHAnsi"/>
                <w:b/>
                <w:bCs/>
                <w:i/>
                <w:lang w:val="en-US"/>
              </w:rPr>
              <w:t xml:space="preserve">Activity 2.4: </w:t>
            </w:r>
            <w:proofErr w:type="spellStart"/>
            <w:r w:rsidRPr="00FE5A98">
              <w:rPr>
                <w:rFonts w:cstheme="minorHAnsi"/>
                <w:b/>
                <w:bCs/>
                <w:i/>
                <w:lang w:val="en-US"/>
              </w:rPr>
              <w:t>finalisation</w:t>
            </w:r>
            <w:proofErr w:type="spellEnd"/>
            <w:r w:rsidRPr="00FE5A98">
              <w:rPr>
                <w:rFonts w:cstheme="minorHAnsi"/>
                <w:b/>
                <w:bCs/>
                <w:i/>
                <w:lang w:val="en-US"/>
              </w:rPr>
              <w:t xml:space="preserve"> of a model to identify sub-groups of low-skilled to be given priority</w:t>
            </w:r>
          </w:p>
        </w:tc>
        <w:tc>
          <w:tcPr>
            <w:tcW w:w="2823"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75618D" w:rsidRDefault="0075618D" w:rsidP="00A302CA">
            <w:pPr>
              <w:tabs>
                <w:tab w:val="left" w:pos="4455"/>
              </w:tabs>
              <w:rPr>
                <w:b/>
                <w:bCs/>
                <w:lang w:val="en-US"/>
              </w:rPr>
            </w:pPr>
          </w:p>
        </w:tc>
        <w:tc>
          <w:tcPr>
            <w:tcW w:w="1571"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601735" w:rsidP="00A302CA">
            <w:pPr>
              <w:tabs>
                <w:tab w:val="left" w:pos="4455"/>
              </w:tabs>
              <w:jc w:val="center"/>
              <w:rPr>
                <w:bCs/>
                <w:lang w:val="en-US"/>
              </w:rPr>
            </w:pPr>
            <w:r w:rsidRPr="00860B72">
              <w:rPr>
                <w:bCs/>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601735" w:rsidP="00A302CA">
            <w:pPr>
              <w:tabs>
                <w:tab w:val="left" w:pos="4455"/>
              </w:tabs>
              <w:jc w:val="center"/>
              <w:rPr>
                <w:bCs/>
                <w:lang w:val="en-US"/>
              </w:rPr>
            </w:pPr>
            <w:r w:rsidRPr="00860B72">
              <w:rPr>
                <w:bCs/>
                <w:lang w:val="en-US"/>
              </w:rPr>
              <w:t>3</w:t>
            </w:r>
          </w:p>
        </w:tc>
        <w:tc>
          <w:tcPr>
            <w:tcW w:w="4602" w:type="dxa"/>
            <w:tcBorders>
              <w:top w:val="single" w:sz="4" w:space="0" w:color="auto"/>
              <w:left w:val="single" w:sz="4" w:space="0" w:color="auto"/>
              <w:bottom w:val="single" w:sz="4" w:space="0" w:color="auto"/>
              <w:right w:val="single" w:sz="4" w:space="0" w:color="auto"/>
            </w:tcBorders>
            <w:shd w:val="clear" w:color="auto" w:fill="FFC000"/>
            <w:vAlign w:val="center"/>
          </w:tcPr>
          <w:p w:rsidR="0075618D" w:rsidRPr="00860B72" w:rsidRDefault="00601735" w:rsidP="00860B72">
            <w:pPr>
              <w:tabs>
                <w:tab w:val="left" w:pos="4455"/>
              </w:tabs>
              <w:jc w:val="both"/>
              <w:rPr>
                <w:bCs/>
              </w:rPr>
            </w:pPr>
            <w:r w:rsidRPr="00860B72">
              <w:rPr>
                <w:bCs/>
              </w:rPr>
              <w:t>A</w:t>
            </w:r>
            <w:r w:rsidRPr="00860B72">
              <w:rPr>
                <w:bCs/>
              </w:rPr>
              <w:t>ttivit</w:t>
            </w:r>
            <w:r w:rsidRPr="00860B72">
              <w:rPr>
                <w:bCs/>
              </w:rPr>
              <w:t xml:space="preserve">à da ripianificare, </w:t>
            </w:r>
            <w:r w:rsidR="00A302CA" w:rsidRPr="00860B72">
              <w:rPr>
                <w:bCs/>
              </w:rPr>
              <w:t>compresa la natura dell’output relativo, oggetto II i</w:t>
            </w:r>
            <w:r w:rsidRPr="00860B72">
              <w:rPr>
                <w:bCs/>
              </w:rPr>
              <w:t xml:space="preserve">ncontro </w:t>
            </w:r>
            <w:proofErr w:type="spellStart"/>
            <w:r w:rsidRPr="00860B72">
              <w:rPr>
                <w:bCs/>
              </w:rPr>
              <w:t>steering</w:t>
            </w:r>
            <w:proofErr w:type="spellEnd"/>
            <w:r w:rsidRPr="00860B72">
              <w:rPr>
                <w:bCs/>
              </w:rPr>
              <w:t xml:space="preserve"> </w:t>
            </w:r>
            <w:proofErr w:type="spellStart"/>
            <w:r w:rsidRPr="00860B72">
              <w:rPr>
                <w:bCs/>
              </w:rPr>
              <w:t>committee</w:t>
            </w:r>
            <w:proofErr w:type="spellEnd"/>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75618D">
              <w:rPr>
                <w:b/>
                <w:bCs/>
                <w:lang w:val="en-US"/>
              </w:rPr>
              <w:t xml:space="preserve">WP3 - </w:t>
            </w:r>
            <w:r w:rsidRPr="0075618D">
              <w:rPr>
                <w:b/>
                <w:bCs/>
                <w:i/>
                <w:iCs/>
                <w:lang w:val="en-US"/>
              </w:rPr>
              <w:t>MODELING: REGIONAL CASE STUDIES FOR THE DEFINITION OF A MODEL FOR THE IMPLEMENTATION OF THE UPSKILLING PATHWAYS, INCLUDING VALIDATION.</w:t>
            </w:r>
          </w:p>
        </w:tc>
      </w:tr>
      <w:tr w:rsidR="00601735"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601735" w:rsidRPr="0088591E" w:rsidRDefault="00601735" w:rsidP="00A302CA">
            <w:pPr>
              <w:tabs>
                <w:tab w:val="left" w:pos="4455"/>
              </w:tabs>
              <w:rPr>
                <w:rFonts w:cstheme="minorHAnsi"/>
                <w:bCs/>
                <w:i/>
                <w:lang w:val="en-US"/>
              </w:rPr>
            </w:pPr>
            <w:r w:rsidRPr="00940794">
              <w:rPr>
                <w:rFonts w:cstheme="minorHAnsi"/>
                <w:b/>
                <w:bCs/>
                <w:i/>
                <w:lang w:val="en-US"/>
              </w:rPr>
              <w:t xml:space="preserve">3.1 Identification of relevant existing </w:t>
            </w:r>
            <w:proofErr w:type="spellStart"/>
            <w:r w:rsidRPr="00940794">
              <w:rPr>
                <w:rFonts w:cstheme="minorHAnsi"/>
                <w:b/>
                <w:bCs/>
                <w:i/>
                <w:lang w:val="en-US"/>
              </w:rPr>
              <w:t>upskilling</w:t>
            </w:r>
            <w:proofErr w:type="spellEnd"/>
            <w:r w:rsidRPr="00940794">
              <w:rPr>
                <w:rFonts w:cstheme="minorHAnsi"/>
                <w:b/>
                <w:bCs/>
                <w:i/>
                <w:lang w:val="en-US"/>
              </w:rPr>
              <w:t xml:space="preserve"> pathways for in-depth study</w:t>
            </w:r>
          </w:p>
        </w:tc>
        <w:tc>
          <w:tcPr>
            <w:tcW w:w="2823"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r>
      <w:tr w:rsidR="00601735"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601735" w:rsidRPr="0088591E" w:rsidRDefault="00601735" w:rsidP="00A302CA">
            <w:pPr>
              <w:tabs>
                <w:tab w:val="left" w:pos="4455"/>
              </w:tabs>
              <w:rPr>
                <w:rFonts w:cstheme="minorHAnsi"/>
                <w:bCs/>
                <w:i/>
                <w:lang w:val="en-US"/>
              </w:rPr>
            </w:pPr>
            <w:r w:rsidRPr="00940794">
              <w:rPr>
                <w:rFonts w:cstheme="minorHAnsi"/>
                <w:b/>
                <w:bCs/>
                <w:i/>
                <w:lang w:val="en-US"/>
              </w:rPr>
              <w:lastRenderedPageBreak/>
              <w:t>3.2 developing three case studies</w:t>
            </w:r>
          </w:p>
        </w:tc>
        <w:tc>
          <w:tcPr>
            <w:tcW w:w="2823"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601735" w:rsidRPr="00980BAF" w:rsidRDefault="00601735" w:rsidP="00A44D01">
            <w:pPr>
              <w:tabs>
                <w:tab w:val="left" w:pos="4455"/>
              </w:tabs>
              <w:jc w:val="center"/>
              <w:rPr>
                <w:bCs/>
              </w:rPr>
            </w:pPr>
            <w:r>
              <w:rPr>
                <w:bCs/>
              </w:rPr>
              <w:t>---</w:t>
            </w:r>
          </w:p>
        </w:tc>
      </w:tr>
      <w:tr w:rsidR="00860B72" w:rsidRPr="0075618D" w:rsidTr="00860B72">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860B72" w:rsidRPr="0088591E" w:rsidRDefault="00860B72" w:rsidP="00A302CA">
            <w:pPr>
              <w:tabs>
                <w:tab w:val="left" w:pos="4455"/>
              </w:tabs>
              <w:rPr>
                <w:rFonts w:cstheme="minorHAnsi"/>
                <w:bCs/>
                <w:i/>
                <w:lang w:val="en-US"/>
              </w:rPr>
            </w:pPr>
            <w:r w:rsidRPr="00940794">
              <w:rPr>
                <w:rFonts w:cstheme="minorHAnsi"/>
                <w:b/>
                <w:bCs/>
                <w:i/>
                <w:lang w:val="en-US"/>
              </w:rPr>
              <w:t>3.3 Definition of a model for the eff</w:t>
            </w:r>
            <w:r>
              <w:rPr>
                <w:rFonts w:cstheme="minorHAnsi"/>
                <w:b/>
                <w:bCs/>
                <w:i/>
                <w:lang w:val="en-US"/>
              </w:rPr>
              <w:t>ective implementation of the UP</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r>
      <w:tr w:rsidR="00860B72" w:rsidRPr="0075618D" w:rsidTr="00860B72">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860B72" w:rsidRPr="0088591E" w:rsidRDefault="00860B72" w:rsidP="00A302CA">
            <w:pPr>
              <w:tabs>
                <w:tab w:val="left" w:pos="4455"/>
              </w:tabs>
              <w:rPr>
                <w:rFonts w:cstheme="minorHAnsi"/>
                <w:bCs/>
                <w:i/>
                <w:lang w:val="en-US"/>
              </w:rPr>
            </w:pPr>
            <w:r w:rsidRPr="00940794">
              <w:rPr>
                <w:rFonts w:cstheme="minorHAnsi"/>
                <w:b/>
                <w:bCs/>
                <w:i/>
                <w:lang w:val="en-US"/>
              </w:rPr>
              <w:t>3.4 Validation of a model for the effective implementation of the UP</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rPr>
            </w:pPr>
            <w:r>
              <w:rPr>
                <w:bCs/>
              </w:rPr>
              <w:t>---</w:t>
            </w:r>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75618D">
              <w:rPr>
                <w:b/>
                <w:bCs/>
                <w:lang w:val="en-US"/>
              </w:rPr>
              <w:t xml:space="preserve">WP 4 - </w:t>
            </w:r>
            <w:r w:rsidRPr="0075618D">
              <w:rPr>
                <w:b/>
                <w:bCs/>
                <w:i/>
              </w:rPr>
              <w:t>DISSEMINATION AND CAPITALIZATION</w:t>
            </w:r>
          </w:p>
        </w:tc>
      </w:tr>
      <w:tr w:rsidR="008A2E39" w:rsidRPr="002E3706"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8A2E39" w:rsidRPr="0088591E" w:rsidRDefault="008A2E39" w:rsidP="008A2E39">
            <w:pPr>
              <w:tabs>
                <w:tab w:val="left" w:pos="4455"/>
              </w:tabs>
              <w:rPr>
                <w:rFonts w:cstheme="minorHAnsi"/>
                <w:bCs/>
                <w:i/>
                <w:lang w:val="en-US"/>
              </w:rPr>
            </w:pPr>
            <w:r w:rsidRPr="00940794">
              <w:rPr>
                <w:rFonts w:cstheme="minorHAnsi"/>
                <w:b/>
                <w:bCs/>
                <w:i/>
                <w:lang w:val="en-US"/>
              </w:rPr>
              <w:t>4.1 Dissemination plan and stakeholders’ identification</w:t>
            </w:r>
          </w:p>
        </w:tc>
        <w:tc>
          <w:tcPr>
            <w:tcW w:w="2823" w:type="dxa"/>
            <w:tcBorders>
              <w:top w:val="single" w:sz="4" w:space="0" w:color="auto"/>
              <w:left w:val="single" w:sz="4" w:space="0" w:color="auto"/>
              <w:bottom w:val="single" w:sz="4" w:space="0" w:color="auto"/>
              <w:right w:val="single" w:sz="4" w:space="0" w:color="auto"/>
            </w:tcBorders>
            <w:vAlign w:val="center"/>
          </w:tcPr>
          <w:p w:rsidR="008A2E39" w:rsidRPr="008A2E39" w:rsidRDefault="008A2E39" w:rsidP="002E3706">
            <w:pPr>
              <w:tabs>
                <w:tab w:val="left" w:pos="4455"/>
              </w:tabs>
              <w:rPr>
                <w:bCs/>
              </w:rPr>
            </w:pPr>
            <w:r w:rsidRPr="008A2E39">
              <w:rPr>
                <w:bCs/>
              </w:rPr>
              <w:t xml:space="preserve">Ritardo nella predisposizione del Piano di disseminazione </w:t>
            </w:r>
          </w:p>
        </w:tc>
        <w:tc>
          <w:tcPr>
            <w:tcW w:w="1571" w:type="dxa"/>
            <w:tcBorders>
              <w:top w:val="single" w:sz="4" w:space="0" w:color="auto"/>
              <w:left w:val="single" w:sz="4" w:space="0" w:color="auto"/>
              <w:bottom w:val="single" w:sz="4" w:space="0" w:color="auto"/>
              <w:right w:val="single" w:sz="4" w:space="0" w:color="auto"/>
            </w:tcBorders>
            <w:vAlign w:val="center"/>
          </w:tcPr>
          <w:p w:rsidR="008A2E39" w:rsidRPr="008A2E39" w:rsidRDefault="008A2E39" w:rsidP="00A44D01">
            <w:pPr>
              <w:tabs>
                <w:tab w:val="left" w:pos="4455"/>
              </w:tabs>
              <w:jc w:val="center"/>
              <w:rPr>
                <w:bCs/>
                <w:lang w:val="en-US"/>
              </w:rPr>
            </w:pPr>
            <w:r w:rsidRPr="008A2E39">
              <w:rPr>
                <w:bCs/>
                <w:lang w:val="en-US"/>
              </w:rPr>
              <w:t>1</w:t>
            </w:r>
          </w:p>
        </w:tc>
        <w:tc>
          <w:tcPr>
            <w:tcW w:w="1559" w:type="dxa"/>
            <w:tcBorders>
              <w:top w:val="single" w:sz="4" w:space="0" w:color="auto"/>
              <w:left w:val="single" w:sz="4" w:space="0" w:color="auto"/>
              <w:bottom w:val="single" w:sz="4" w:space="0" w:color="auto"/>
              <w:right w:val="single" w:sz="4" w:space="0" w:color="auto"/>
            </w:tcBorders>
            <w:vAlign w:val="center"/>
          </w:tcPr>
          <w:p w:rsidR="008A2E39" w:rsidRPr="008A2E39" w:rsidRDefault="008A2E39" w:rsidP="00A44D01">
            <w:pPr>
              <w:tabs>
                <w:tab w:val="left" w:pos="4455"/>
              </w:tabs>
              <w:jc w:val="center"/>
              <w:rPr>
                <w:bCs/>
                <w:lang w:val="en-US"/>
              </w:rPr>
            </w:pPr>
            <w:r w:rsidRPr="008A2E39">
              <w:rPr>
                <w:bCs/>
                <w:lang w:val="en-US"/>
              </w:rPr>
              <w:t>1</w:t>
            </w:r>
          </w:p>
        </w:tc>
        <w:tc>
          <w:tcPr>
            <w:tcW w:w="4602" w:type="dxa"/>
            <w:tcBorders>
              <w:top w:val="single" w:sz="4" w:space="0" w:color="auto"/>
              <w:left w:val="single" w:sz="4" w:space="0" w:color="auto"/>
              <w:bottom w:val="single" w:sz="4" w:space="0" w:color="auto"/>
              <w:right w:val="single" w:sz="4" w:space="0" w:color="auto"/>
            </w:tcBorders>
            <w:vAlign w:val="center"/>
          </w:tcPr>
          <w:p w:rsidR="008A2E39" w:rsidRPr="008876E0" w:rsidRDefault="008A2E39" w:rsidP="008A2E39">
            <w:pPr>
              <w:tabs>
                <w:tab w:val="left" w:pos="538"/>
                <w:tab w:val="left" w:pos="4455"/>
              </w:tabs>
              <w:ind w:left="34"/>
              <w:jc w:val="both"/>
              <w:rPr>
                <w:bCs/>
              </w:rPr>
            </w:pPr>
            <w:r>
              <w:rPr>
                <w:bCs/>
              </w:rPr>
              <w:t xml:space="preserve">Chiara attribuzione della responsabilità ad un organismo partner con consolidata esperienza nella realizzazione del compito. La scelta ricade su FGB, anche in considerazione della maggiore flessibilità amministrativa (rispetto alle PA che compongono il partenariato) che consente una rapida selezione e individuazione dei subfornitori. </w:t>
            </w:r>
            <w:r w:rsidRPr="008876E0">
              <w:rPr>
                <w:bCs/>
              </w:rPr>
              <w:t xml:space="preserve"> </w:t>
            </w:r>
          </w:p>
        </w:tc>
      </w:tr>
      <w:tr w:rsidR="0075618D" w:rsidRPr="008A2E39"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940794" w:rsidRDefault="0075618D" w:rsidP="00A44D01">
            <w:pPr>
              <w:tabs>
                <w:tab w:val="left" w:pos="4455"/>
              </w:tabs>
              <w:rPr>
                <w:rFonts w:cstheme="minorHAnsi"/>
                <w:bCs/>
                <w:i/>
                <w:lang w:val="en-US"/>
              </w:rPr>
            </w:pPr>
            <w:r w:rsidRPr="008A2E39">
              <w:rPr>
                <w:rFonts w:cstheme="minorHAnsi"/>
                <w:b/>
                <w:bCs/>
                <w:i/>
              </w:rPr>
              <w:t xml:space="preserve">4.2 Analysis of </w:t>
            </w:r>
            <w:proofErr w:type="spellStart"/>
            <w:r w:rsidRPr="008A2E39">
              <w:rPr>
                <w:rFonts w:cstheme="minorHAnsi"/>
                <w:b/>
                <w:bCs/>
                <w:i/>
              </w:rPr>
              <w:t>means</w:t>
            </w:r>
            <w:proofErr w:type="spellEnd"/>
            <w:r w:rsidRPr="008A2E39">
              <w:rPr>
                <w:rFonts w:cstheme="minorHAnsi"/>
                <w:b/>
                <w:bCs/>
                <w:i/>
              </w:rPr>
              <w:t xml:space="preserve"> to </w:t>
            </w:r>
            <w:proofErr w:type="spellStart"/>
            <w:r w:rsidRPr="008A2E39">
              <w:rPr>
                <w:rFonts w:cstheme="minorHAnsi"/>
                <w:b/>
                <w:bCs/>
                <w:i/>
              </w:rPr>
              <w:t>address</w:t>
            </w:r>
            <w:proofErr w:type="spellEnd"/>
            <w:r w:rsidRPr="008A2E39">
              <w:rPr>
                <w:rFonts w:cstheme="minorHAnsi"/>
                <w:b/>
                <w:bCs/>
                <w:i/>
              </w:rPr>
              <w:t xml:space="preserve"> </w:t>
            </w:r>
            <w:proofErr w:type="spellStart"/>
            <w:r w:rsidRPr="008A2E39">
              <w:rPr>
                <w:rFonts w:cstheme="minorHAnsi"/>
                <w:b/>
                <w:bCs/>
                <w:i/>
              </w:rPr>
              <w:t>specific</w:t>
            </w:r>
            <w:proofErr w:type="spellEnd"/>
            <w:r w:rsidRPr="008A2E39">
              <w:rPr>
                <w:rFonts w:cstheme="minorHAnsi"/>
                <w:b/>
                <w:bCs/>
                <w:i/>
              </w:rPr>
              <w:t xml:space="preserve"> target g</w:t>
            </w:r>
            <w:proofErr w:type="spellStart"/>
            <w:r w:rsidRPr="00940794">
              <w:rPr>
                <w:rFonts w:cstheme="minorHAnsi"/>
                <w:b/>
                <w:bCs/>
                <w:i/>
                <w:lang w:val="en-US"/>
              </w:rPr>
              <w:t>roups</w:t>
            </w:r>
            <w:proofErr w:type="spellEnd"/>
            <w:r w:rsidRPr="00940794">
              <w:rPr>
                <w:rFonts w:cstheme="minorHAnsi"/>
                <w:b/>
                <w:bCs/>
                <w:i/>
                <w:lang w:val="en-US"/>
              </w:rPr>
              <w:t xml:space="preserve"> and low skilled</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shd w:val="clear" w:color="auto" w:fill="FFFF00"/>
          </w:tcPr>
          <w:p w:rsidR="0075618D" w:rsidRPr="008A2E39" w:rsidRDefault="008A2E39" w:rsidP="008A2E39">
            <w:pPr>
              <w:tabs>
                <w:tab w:val="left" w:pos="4455"/>
              </w:tabs>
              <w:jc w:val="both"/>
              <w:rPr>
                <w:bCs/>
              </w:rPr>
            </w:pPr>
            <w:r w:rsidRPr="008A2E39">
              <w:rPr>
                <w:bCs/>
              </w:rPr>
              <w:t>Difficoltà nell’assicurare efficacia ed efficienza della selezione di canali e strumenti individuati</w:t>
            </w:r>
          </w:p>
        </w:tc>
        <w:tc>
          <w:tcPr>
            <w:tcW w:w="1571"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A2E39" w:rsidRDefault="008A2E39" w:rsidP="008A2E39">
            <w:pPr>
              <w:tabs>
                <w:tab w:val="left" w:pos="4455"/>
              </w:tabs>
              <w:jc w:val="center"/>
              <w:rPr>
                <w:bCs/>
              </w:rPr>
            </w:pPr>
            <w:r w:rsidRPr="008A2E39">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A2E39" w:rsidRDefault="008A2E39" w:rsidP="008A2E39">
            <w:pPr>
              <w:tabs>
                <w:tab w:val="left" w:pos="4455"/>
              </w:tabs>
              <w:jc w:val="center"/>
              <w:rPr>
                <w:bCs/>
              </w:rPr>
            </w:pPr>
            <w:r w:rsidRPr="008A2E39">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FF00"/>
          </w:tcPr>
          <w:p w:rsidR="0075618D" w:rsidRPr="008A2E39" w:rsidRDefault="008A2E39" w:rsidP="008A2E39">
            <w:pPr>
              <w:tabs>
                <w:tab w:val="left" w:pos="4455"/>
              </w:tabs>
              <w:jc w:val="both"/>
              <w:rPr>
                <w:bCs/>
              </w:rPr>
            </w:pPr>
            <w:r w:rsidRPr="008A2E39">
              <w:rPr>
                <w:bCs/>
              </w:rPr>
              <w:t xml:space="preserve">Interlocuzione con esperti di settore e </w:t>
            </w:r>
            <w:proofErr w:type="spellStart"/>
            <w:r w:rsidRPr="008A2E39">
              <w:rPr>
                <w:bCs/>
              </w:rPr>
              <w:t>benchmarking</w:t>
            </w:r>
            <w:proofErr w:type="spellEnd"/>
            <w:r>
              <w:rPr>
                <w:bCs/>
              </w:rPr>
              <w:t xml:space="preserve"> </w:t>
            </w:r>
            <w:proofErr w:type="spellStart"/>
            <w:r>
              <w:rPr>
                <w:bCs/>
              </w:rPr>
              <w:t>analysis</w:t>
            </w:r>
            <w:proofErr w:type="spellEnd"/>
            <w:r w:rsidRPr="008A2E39">
              <w:rPr>
                <w:bCs/>
              </w:rPr>
              <w:t xml:space="preserve"> </w:t>
            </w:r>
            <w:r>
              <w:rPr>
                <w:bCs/>
              </w:rPr>
              <w:t xml:space="preserve">tra </w:t>
            </w:r>
            <w:r w:rsidRPr="008A2E39">
              <w:rPr>
                <w:bCs/>
              </w:rPr>
              <w:t xml:space="preserve">soluzioni </w:t>
            </w:r>
            <w:r>
              <w:rPr>
                <w:bCs/>
              </w:rPr>
              <w:t xml:space="preserve">già </w:t>
            </w:r>
            <w:r w:rsidRPr="008A2E39">
              <w:rPr>
                <w:bCs/>
              </w:rPr>
              <w:t xml:space="preserve">adottate (con particolare riferimento alle esperienze delle strutture territoriali (CPI e CPIA, ad esempio) e all’insieme dei progetti finanziati nel quadro di programmi UE (es.: Erasmus +, </w:t>
            </w:r>
            <w:proofErr w:type="spellStart"/>
            <w:r w:rsidRPr="008A2E39">
              <w:rPr>
                <w:bCs/>
              </w:rPr>
              <w:t>EaSI</w:t>
            </w:r>
            <w:proofErr w:type="spellEnd"/>
            <w:r w:rsidRPr="008A2E39">
              <w:rPr>
                <w:bCs/>
              </w:rPr>
              <w:t>)</w:t>
            </w:r>
          </w:p>
        </w:tc>
      </w:tr>
      <w:tr w:rsidR="002E3706" w:rsidRPr="008A2E39"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2E3706" w:rsidRPr="008A2E39" w:rsidRDefault="002E3706" w:rsidP="008A2E39">
            <w:pPr>
              <w:tabs>
                <w:tab w:val="left" w:pos="4455"/>
              </w:tabs>
              <w:rPr>
                <w:rFonts w:cstheme="minorHAnsi"/>
                <w:bCs/>
                <w:i/>
              </w:rPr>
            </w:pPr>
            <w:r w:rsidRPr="008A2E39">
              <w:rPr>
                <w:rFonts w:cstheme="minorHAnsi"/>
                <w:b/>
                <w:bCs/>
                <w:i/>
              </w:rPr>
              <w:t xml:space="preserve">4.3 Development of a </w:t>
            </w:r>
            <w:proofErr w:type="spellStart"/>
            <w:r w:rsidRPr="008A2E39">
              <w:rPr>
                <w:rFonts w:cstheme="minorHAnsi"/>
                <w:b/>
                <w:bCs/>
                <w:i/>
              </w:rPr>
              <w:t>project</w:t>
            </w:r>
            <w:proofErr w:type="spellEnd"/>
            <w:r w:rsidRPr="008A2E39">
              <w:rPr>
                <w:rFonts w:cstheme="minorHAnsi"/>
                <w:b/>
                <w:bCs/>
                <w:i/>
              </w:rPr>
              <w:t xml:space="preserve"> website/</w:t>
            </w:r>
            <w:proofErr w:type="spellStart"/>
            <w:r w:rsidRPr="008A2E39">
              <w:rPr>
                <w:rFonts w:cstheme="minorHAnsi"/>
                <w:b/>
                <w:bCs/>
                <w:i/>
              </w:rPr>
              <w:t>platform</w:t>
            </w:r>
            <w:proofErr w:type="spellEnd"/>
          </w:p>
        </w:tc>
        <w:tc>
          <w:tcPr>
            <w:tcW w:w="2823"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rPr>
            </w:pPr>
            <w:r>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rPr>
            </w:pPr>
            <w:r>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rPr>
            </w:pPr>
            <w:r>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rPr>
            </w:pPr>
            <w:r>
              <w:rPr>
                <w:bCs/>
              </w:rPr>
              <w:t>---</w:t>
            </w:r>
          </w:p>
        </w:tc>
      </w:tr>
      <w:tr w:rsidR="002E3706"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2E3706" w:rsidRPr="0088591E" w:rsidRDefault="002E3706" w:rsidP="00A302CA">
            <w:pPr>
              <w:tabs>
                <w:tab w:val="left" w:pos="4455"/>
              </w:tabs>
              <w:rPr>
                <w:rFonts w:cstheme="minorHAnsi"/>
                <w:bCs/>
                <w:i/>
                <w:lang w:val="en-US"/>
              </w:rPr>
            </w:pPr>
            <w:r w:rsidRPr="008A2E39">
              <w:rPr>
                <w:rFonts w:cstheme="minorHAnsi"/>
                <w:b/>
                <w:bCs/>
                <w:i/>
              </w:rPr>
              <w:t xml:space="preserve">4.4 </w:t>
            </w:r>
            <w:proofErr w:type="spellStart"/>
            <w:r w:rsidRPr="008A2E39">
              <w:rPr>
                <w:rFonts w:cstheme="minorHAnsi"/>
                <w:b/>
                <w:bCs/>
                <w:i/>
              </w:rPr>
              <w:t>Drafting</w:t>
            </w:r>
            <w:proofErr w:type="spellEnd"/>
            <w:r w:rsidRPr="008A2E39">
              <w:rPr>
                <w:rFonts w:cstheme="minorHAnsi"/>
                <w:b/>
                <w:bCs/>
                <w:i/>
              </w:rPr>
              <w:t xml:space="preserve"> of a </w:t>
            </w:r>
            <w:proofErr w:type="spellStart"/>
            <w:r w:rsidRPr="008A2E39">
              <w:rPr>
                <w:rFonts w:cstheme="minorHAnsi"/>
                <w:b/>
                <w:bCs/>
                <w:i/>
              </w:rPr>
              <w:t>handbook</w:t>
            </w:r>
            <w:proofErr w:type="spellEnd"/>
            <w:r w:rsidRPr="008A2E39">
              <w:rPr>
                <w:rFonts w:cstheme="minorHAnsi"/>
                <w:b/>
                <w:bCs/>
                <w:i/>
              </w:rPr>
              <w:t>/</w:t>
            </w:r>
            <w:proofErr w:type="spellStart"/>
            <w:r w:rsidRPr="008A2E39">
              <w:rPr>
                <w:rFonts w:cstheme="minorHAnsi"/>
                <w:b/>
                <w:bCs/>
                <w:i/>
              </w:rPr>
              <w:t>guideline</w:t>
            </w:r>
            <w:proofErr w:type="spellEnd"/>
            <w:r w:rsidRPr="008A2E39">
              <w:rPr>
                <w:rFonts w:cstheme="minorHAnsi"/>
                <w:b/>
                <w:bCs/>
                <w:i/>
              </w:rPr>
              <w:t xml:space="preserve"> for the </w:t>
            </w:r>
            <w:proofErr w:type="spellStart"/>
            <w:r w:rsidRPr="008A2E39">
              <w:rPr>
                <w:rFonts w:cstheme="minorHAnsi"/>
                <w:b/>
                <w:bCs/>
                <w:i/>
              </w:rPr>
              <w:t>implementatio</w:t>
            </w:r>
            <w:proofErr w:type="spellEnd"/>
            <w:r w:rsidRPr="00940794">
              <w:rPr>
                <w:rFonts w:cstheme="minorHAnsi"/>
                <w:b/>
                <w:bCs/>
                <w:i/>
                <w:lang w:val="en-US"/>
              </w:rPr>
              <w:t>n of the UP</w:t>
            </w:r>
          </w:p>
        </w:tc>
        <w:tc>
          <w:tcPr>
            <w:tcW w:w="2823"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lang w:val="en-US"/>
              </w:rPr>
            </w:pPr>
            <w:proofErr w:type="spellStart"/>
            <w:r w:rsidRPr="005C5FBE">
              <w:rPr>
                <w:bCs/>
                <w:lang w:val="en-US"/>
              </w:rPr>
              <w:t>nessuno</w:t>
            </w:r>
            <w:proofErr w:type="spellEnd"/>
          </w:p>
        </w:tc>
        <w:tc>
          <w:tcPr>
            <w:tcW w:w="1571"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lang w:val="en-US"/>
              </w:rPr>
            </w:pPr>
            <w:r>
              <w:rPr>
                <w:bCs/>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lang w:val="en-US"/>
              </w:rPr>
            </w:pPr>
            <w:r>
              <w:rPr>
                <w:bCs/>
                <w:lang w:val="en-US"/>
              </w:rPr>
              <w:t>---</w:t>
            </w:r>
          </w:p>
        </w:tc>
        <w:tc>
          <w:tcPr>
            <w:tcW w:w="4602" w:type="dxa"/>
            <w:tcBorders>
              <w:top w:val="single" w:sz="4" w:space="0" w:color="auto"/>
              <w:left w:val="single" w:sz="4" w:space="0" w:color="auto"/>
              <w:bottom w:val="single" w:sz="4" w:space="0" w:color="auto"/>
              <w:right w:val="single" w:sz="4" w:space="0" w:color="auto"/>
            </w:tcBorders>
            <w:vAlign w:val="center"/>
          </w:tcPr>
          <w:p w:rsidR="002E3706" w:rsidRPr="00980BAF" w:rsidRDefault="002E3706" w:rsidP="00A302CA">
            <w:pPr>
              <w:tabs>
                <w:tab w:val="left" w:pos="4455"/>
              </w:tabs>
              <w:jc w:val="center"/>
              <w:rPr>
                <w:bCs/>
                <w:lang w:val="en-US"/>
              </w:rPr>
            </w:pPr>
            <w:r>
              <w:rPr>
                <w:bCs/>
                <w:lang w:val="en-US"/>
              </w:rPr>
              <w:t>---</w:t>
            </w:r>
          </w:p>
        </w:tc>
      </w:tr>
      <w:tr w:rsidR="00860B72" w:rsidRPr="0075618D" w:rsidTr="004217C4">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860B72" w:rsidRPr="004A39A7" w:rsidRDefault="00860B72" w:rsidP="00A302CA">
            <w:pPr>
              <w:tabs>
                <w:tab w:val="left" w:pos="4455"/>
              </w:tabs>
              <w:rPr>
                <w:rFonts w:cstheme="minorHAnsi"/>
                <w:bCs/>
                <w:i/>
                <w:lang w:val="en-US"/>
              </w:rPr>
            </w:pPr>
            <w:r w:rsidRPr="00940794">
              <w:rPr>
                <w:rFonts w:cstheme="minorHAnsi"/>
                <w:b/>
                <w:bCs/>
                <w:i/>
                <w:lang w:val="en-US"/>
              </w:rPr>
              <w:t>4.5 Stakeholders’ workshops</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860B72" w:rsidRPr="00980BAF" w:rsidRDefault="00860B72" w:rsidP="00A44D01">
            <w:pPr>
              <w:tabs>
                <w:tab w:val="left" w:pos="4455"/>
              </w:tabs>
              <w:jc w:val="center"/>
              <w:rPr>
                <w:bCs/>
                <w:lang w:val="en-US"/>
              </w:rPr>
            </w:pPr>
            <w:proofErr w:type="spellStart"/>
            <w:r w:rsidRPr="005C5FBE">
              <w:rPr>
                <w:bCs/>
                <w:lang w:val="en-US"/>
              </w:rPr>
              <w:t>nessuno</w:t>
            </w:r>
            <w:proofErr w:type="spellEnd"/>
          </w:p>
        </w:tc>
        <w:tc>
          <w:tcPr>
            <w:tcW w:w="1571" w:type="dxa"/>
            <w:tcBorders>
              <w:top w:val="single" w:sz="4" w:space="0" w:color="auto"/>
              <w:left w:val="single" w:sz="4" w:space="0" w:color="auto"/>
              <w:bottom w:val="single" w:sz="4" w:space="0" w:color="auto"/>
              <w:right w:val="single" w:sz="4" w:space="0" w:color="auto"/>
            </w:tcBorders>
            <w:vAlign w:val="center"/>
          </w:tcPr>
          <w:p w:rsidR="00860B72" w:rsidRPr="00980BAF" w:rsidRDefault="00860B72" w:rsidP="00A44D01">
            <w:pPr>
              <w:tabs>
                <w:tab w:val="left" w:pos="4455"/>
              </w:tabs>
              <w:jc w:val="center"/>
              <w:rPr>
                <w:bCs/>
                <w:lang w:val="en-US"/>
              </w:rPr>
            </w:pPr>
            <w:r>
              <w:rPr>
                <w:bCs/>
                <w:lang w:val="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860B72" w:rsidRPr="00980BAF" w:rsidRDefault="00860B72" w:rsidP="00A44D01">
            <w:pPr>
              <w:tabs>
                <w:tab w:val="left" w:pos="4455"/>
              </w:tabs>
              <w:jc w:val="center"/>
              <w:rPr>
                <w:bCs/>
                <w:lang w:val="en-US"/>
              </w:rPr>
            </w:pPr>
            <w:r>
              <w:rPr>
                <w:bCs/>
                <w:lang w:val="en-US"/>
              </w:rPr>
              <w:t>---</w:t>
            </w:r>
          </w:p>
        </w:tc>
        <w:tc>
          <w:tcPr>
            <w:tcW w:w="4602" w:type="dxa"/>
            <w:tcBorders>
              <w:top w:val="single" w:sz="4" w:space="0" w:color="auto"/>
              <w:left w:val="single" w:sz="4" w:space="0" w:color="auto"/>
              <w:bottom w:val="single" w:sz="4" w:space="0" w:color="auto"/>
              <w:right w:val="single" w:sz="4" w:space="0" w:color="auto"/>
            </w:tcBorders>
            <w:vAlign w:val="center"/>
          </w:tcPr>
          <w:p w:rsidR="00860B72" w:rsidRPr="00980BAF" w:rsidRDefault="00860B72" w:rsidP="00A44D01">
            <w:pPr>
              <w:tabs>
                <w:tab w:val="left" w:pos="4455"/>
              </w:tabs>
              <w:jc w:val="center"/>
              <w:rPr>
                <w:bCs/>
                <w:lang w:val="en-US"/>
              </w:rPr>
            </w:pPr>
            <w:r>
              <w:rPr>
                <w:bCs/>
                <w:lang w:val="en-US"/>
              </w:rPr>
              <w:t>---</w:t>
            </w:r>
          </w:p>
        </w:tc>
      </w:tr>
      <w:tr w:rsidR="008A2E39" w:rsidRPr="0075618D"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8A2E39" w:rsidRPr="00940794" w:rsidRDefault="008A2E39" w:rsidP="00A44D01">
            <w:pPr>
              <w:tabs>
                <w:tab w:val="left" w:pos="4455"/>
              </w:tabs>
              <w:rPr>
                <w:rFonts w:cstheme="minorHAnsi"/>
                <w:b/>
                <w:bCs/>
                <w:i/>
                <w:lang w:val="en-US"/>
              </w:rPr>
            </w:pPr>
            <w:r w:rsidRPr="00940794">
              <w:rPr>
                <w:rFonts w:cstheme="minorHAnsi"/>
                <w:b/>
                <w:bCs/>
                <w:i/>
                <w:lang w:val="en-US"/>
              </w:rPr>
              <w:t>4.6 Final conference</w:t>
            </w:r>
          </w:p>
          <w:p w:rsidR="008A2E39" w:rsidRPr="004A39A7" w:rsidRDefault="008A2E39"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vAlign w:val="center"/>
          </w:tcPr>
          <w:p w:rsidR="008A2E39" w:rsidRPr="00B825DE" w:rsidRDefault="008A2E39" w:rsidP="00A302CA">
            <w:pPr>
              <w:tabs>
                <w:tab w:val="left" w:pos="4455"/>
              </w:tabs>
              <w:jc w:val="center"/>
              <w:rPr>
                <w:bCs/>
              </w:rPr>
            </w:pPr>
            <w:r w:rsidRPr="00B825DE">
              <w:rPr>
                <w:bCs/>
              </w:rPr>
              <w:t>nessuno</w:t>
            </w:r>
          </w:p>
        </w:tc>
        <w:tc>
          <w:tcPr>
            <w:tcW w:w="1571" w:type="dxa"/>
            <w:tcBorders>
              <w:top w:val="single" w:sz="4" w:space="0" w:color="auto"/>
              <w:left w:val="single" w:sz="4" w:space="0" w:color="auto"/>
              <w:bottom w:val="single" w:sz="4" w:space="0" w:color="auto"/>
              <w:right w:val="single" w:sz="4" w:space="0" w:color="auto"/>
            </w:tcBorders>
            <w:vAlign w:val="center"/>
          </w:tcPr>
          <w:p w:rsidR="008A2E39" w:rsidRPr="00B825DE" w:rsidRDefault="008A2E39" w:rsidP="00A302CA">
            <w:pPr>
              <w:tabs>
                <w:tab w:val="left" w:pos="4455"/>
              </w:tabs>
              <w:jc w:val="center"/>
              <w:rPr>
                <w:bCs/>
              </w:rPr>
            </w:pPr>
            <w:r w:rsidRPr="00B825DE">
              <w:rPr>
                <w:bCs/>
              </w:rPr>
              <w:t>---</w:t>
            </w:r>
          </w:p>
        </w:tc>
        <w:tc>
          <w:tcPr>
            <w:tcW w:w="1559" w:type="dxa"/>
            <w:tcBorders>
              <w:top w:val="single" w:sz="4" w:space="0" w:color="auto"/>
              <w:left w:val="single" w:sz="4" w:space="0" w:color="auto"/>
              <w:bottom w:val="single" w:sz="4" w:space="0" w:color="auto"/>
              <w:right w:val="single" w:sz="4" w:space="0" w:color="auto"/>
            </w:tcBorders>
            <w:vAlign w:val="center"/>
          </w:tcPr>
          <w:p w:rsidR="008A2E39" w:rsidRPr="00B825DE" w:rsidRDefault="008A2E39" w:rsidP="00A302CA">
            <w:pPr>
              <w:tabs>
                <w:tab w:val="left" w:pos="4455"/>
              </w:tabs>
              <w:jc w:val="center"/>
              <w:rPr>
                <w:bCs/>
              </w:rPr>
            </w:pPr>
            <w:r w:rsidRPr="00B825DE">
              <w:rPr>
                <w:bCs/>
              </w:rPr>
              <w:t>---</w:t>
            </w:r>
          </w:p>
        </w:tc>
        <w:tc>
          <w:tcPr>
            <w:tcW w:w="4602" w:type="dxa"/>
            <w:tcBorders>
              <w:top w:val="single" w:sz="4" w:space="0" w:color="auto"/>
              <w:left w:val="single" w:sz="4" w:space="0" w:color="auto"/>
              <w:bottom w:val="single" w:sz="4" w:space="0" w:color="auto"/>
              <w:right w:val="single" w:sz="4" w:space="0" w:color="auto"/>
            </w:tcBorders>
            <w:vAlign w:val="center"/>
          </w:tcPr>
          <w:p w:rsidR="008A2E39" w:rsidRPr="00B825DE" w:rsidRDefault="008A2E39" w:rsidP="00A302CA">
            <w:pPr>
              <w:tabs>
                <w:tab w:val="left" w:pos="4455"/>
              </w:tabs>
              <w:jc w:val="center"/>
              <w:rPr>
                <w:bCs/>
              </w:rPr>
            </w:pPr>
            <w:r w:rsidRPr="00B825DE">
              <w:rPr>
                <w:bCs/>
              </w:rPr>
              <w:t>---</w:t>
            </w:r>
          </w:p>
        </w:tc>
      </w:tr>
      <w:tr w:rsidR="008A2E39" w:rsidRPr="008A2E39"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FF00"/>
            <w:vAlign w:val="center"/>
          </w:tcPr>
          <w:p w:rsidR="008A2E39" w:rsidRPr="00940794" w:rsidRDefault="008A2E39" w:rsidP="00A44D01">
            <w:pPr>
              <w:tabs>
                <w:tab w:val="left" w:pos="4455"/>
              </w:tabs>
              <w:rPr>
                <w:rFonts w:cstheme="minorHAnsi"/>
                <w:b/>
                <w:bCs/>
                <w:i/>
                <w:lang w:val="en-US"/>
              </w:rPr>
            </w:pPr>
            <w:r w:rsidRPr="00940794">
              <w:rPr>
                <w:rFonts w:cstheme="minorHAnsi"/>
                <w:b/>
                <w:bCs/>
                <w:i/>
                <w:lang w:val="en-US"/>
              </w:rPr>
              <w:t>4.7 Drafting final report</w:t>
            </w:r>
          </w:p>
          <w:p w:rsidR="008A2E39" w:rsidRPr="004A39A7" w:rsidRDefault="008A2E39"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shd w:val="clear" w:color="auto" w:fill="FFFF00"/>
            <w:vAlign w:val="center"/>
          </w:tcPr>
          <w:p w:rsidR="008A2E39" w:rsidRPr="002E3706" w:rsidRDefault="008A2E39" w:rsidP="008A2E39">
            <w:pPr>
              <w:tabs>
                <w:tab w:val="left" w:pos="4455"/>
              </w:tabs>
              <w:rPr>
                <w:bCs/>
              </w:rPr>
            </w:pPr>
            <w:r w:rsidRPr="002E3706">
              <w:rPr>
                <w:bCs/>
              </w:rPr>
              <w:t>Ritardo nella redazione de</w:t>
            </w:r>
            <w:r>
              <w:rPr>
                <w:bCs/>
              </w:rPr>
              <w:t>l Rapporto</w:t>
            </w:r>
          </w:p>
        </w:tc>
        <w:tc>
          <w:tcPr>
            <w:tcW w:w="1571" w:type="dxa"/>
            <w:tcBorders>
              <w:top w:val="single" w:sz="4" w:space="0" w:color="auto"/>
              <w:left w:val="single" w:sz="4" w:space="0" w:color="auto"/>
              <w:bottom w:val="single" w:sz="4" w:space="0" w:color="auto"/>
              <w:right w:val="single" w:sz="4" w:space="0" w:color="auto"/>
            </w:tcBorders>
            <w:shd w:val="clear" w:color="auto" w:fill="FFFF00"/>
            <w:vAlign w:val="center"/>
          </w:tcPr>
          <w:p w:rsidR="008A2E39" w:rsidRPr="008A2E39" w:rsidRDefault="008A2E39" w:rsidP="00A44D01">
            <w:pPr>
              <w:tabs>
                <w:tab w:val="left" w:pos="4455"/>
              </w:tabs>
              <w:jc w:val="center"/>
              <w:rPr>
                <w:bCs/>
              </w:rPr>
            </w:pPr>
            <w:r w:rsidRPr="008A2E39">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8A2E39" w:rsidRPr="008A2E39" w:rsidRDefault="008A2E39" w:rsidP="00A44D01">
            <w:pPr>
              <w:tabs>
                <w:tab w:val="left" w:pos="4455"/>
              </w:tabs>
              <w:jc w:val="center"/>
              <w:rPr>
                <w:bCs/>
              </w:rPr>
            </w:pPr>
            <w:r w:rsidRPr="008A2E39">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FF00"/>
            <w:vAlign w:val="center"/>
          </w:tcPr>
          <w:p w:rsidR="008A2E39" w:rsidRPr="002E3706" w:rsidRDefault="008A2E39" w:rsidP="00A44D01">
            <w:pPr>
              <w:tabs>
                <w:tab w:val="left" w:pos="4455"/>
              </w:tabs>
              <w:jc w:val="both"/>
              <w:rPr>
                <w:bCs/>
              </w:rPr>
            </w:pPr>
            <w:r w:rsidRPr="002E3706">
              <w:rPr>
                <w:bCs/>
              </w:rPr>
              <w:t xml:space="preserve">Rischio contenuto attraverso l’azione di monitoraggio e valutazione in itinere cui viene dedicata una risorsa dello Staff </w:t>
            </w:r>
            <w:proofErr w:type="spellStart"/>
            <w:r w:rsidRPr="002E3706">
              <w:rPr>
                <w:bCs/>
              </w:rPr>
              <w:t>Inapp</w:t>
            </w:r>
            <w:proofErr w:type="spellEnd"/>
            <w:r w:rsidRPr="002E3706">
              <w:rPr>
                <w:bCs/>
              </w:rPr>
              <w:t xml:space="preserve"> in affiancamento al Coordinatore del Progetto.</w:t>
            </w:r>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75618D">
              <w:rPr>
                <w:b/>
                <w:bCs/>
                <w:lang w:val="en-US"/>
              </w:rPr>
              <w:lastRenderedPageBreak/>
              <w:t>WP 5 – MONITORING AND EVALUATION</w:t>
            </w:r>
          </w:p>
        </w:tc>
      </w:tr>
      <w:tr w:rsidR="0075618D" w:rsidRPr="002E3706"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t>5.1 Definition of quality objectives and a Quality Plan</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vAlign w:val="center"/>
          </w:tcPr>
          <w:p w:rsidR="0075618D" w:rsidRPr="002E3706" w:rsidRDefault="002E3706" w:rsidP="002E3706">
            <w:pPr>
              <w:tabs>
                <w:tab w:val="left" w:pos="4455"/>
              </w:tabs>
              <w:jc w:val="both"/>
              <w:rPr>
                <w:bCs/>
              </w:rPr>
            </w:pPr>
            <w:r w:rsidRPr="002E3706">
              <w:rPr>
                <w:bCs/>
              </w:rPr>
              <w:t>Ritardo nella predisposizione dei Piani di monitoraggio e di valutazione del progetto</w:t>
            </w:r>
          </w:p>
        </w:tc>
        <w:tc>
          <w:tcPr>
            <w:tcW w:w="1571" w:type="dxa"/>
            <w:tcBorders>
              <w:top w:val="single" w:sz="4" w:space="0" w:color="auto"/>
              <w:left w:val="single" w:sz="4" w:space="0" w:color="auto"/>
              <w:bottom w:val="single" w:sz="4" w:space="0" w:color="auto"/>
              <w:right w:val="single" w:sz="4" w:space="0" w:color="auto"/>
            </w:tcBorders>
            <w:vAlign w:val="center"/>
          </w:tcPr>
          <w:p w:rsidR="0075618D" w:rsidRPr="002E3706" w:rsidRDefault="002E3706" w:rsidP="008A2E39">
            <w:pPr>
              <w:tabs>
                <w:tab w:val="left" w:pos="4455"/>
              </w:tabs>
              <w:jc w:val="center"/>
              <w:rPr>
                <w:bCs/>
              </w:rPr>
            </w:pPr>
            <w:r w:rsidRPr="002E3706">
              <w:rPr>
                <w:bCs/>
              </w:rPr>
              <w:t>1</w:t>
            </w:r>
          </w:p>
        </w:tc>
        <w:tc>
          <w:tcPr>
            <w:tcW w:w="1559" w:type="dxa"/>
            <w:tcBorders>
              <w:top w:val="single" w:sz="4" w:space="0" w:color="auto"/>
              <w:left w:val="single" w:sz="4" w:space="0" w:color="auto"/>
              <w:bottom w:val="single" w:sz="4" w:space="0" w:color="auto"/>
              <w:right w:val="single" w:sz="4" w:space="0" w:color="auto"/>
            </w:tcBorders>
            <w:vAlign w:val="center"/>
          </w:tcPr>
          <w:p w:rsidR="0075618D" w:rsidRPr="002E3706" w:rsidRDefault="002E3706" w:rsidP="008A2E39">
            <w:pPr>
              <w:tabs>
                <w:tab w:val="left" w:pos="4455"/>
              </w:tabs>
              <w:jc w:val="center"/>
              <w:rPr>
                <w:bCs/>
              </w:rPr>
            </w:pPr>
            <w:r w:rsidRPr="002E3706">
              <w:rPr>
                <w:bCs/>
              </w:rPr>
              <w:t>1</w:t>
            </w:r>
          </w:p>
        </w:tc>
        <w:tc>
          <w:tcPr>
            <w:tcW w:w="4602" w:type="dxa"/>
            <w:tcBorders>
              <w:top w:val="single" w:sz="4" w:space="0" w:color="auto"/>
              <w:left w:val="single" w:sz="4" w:space="0" w:color="auto"/>
              <w:bottom w:val="single" w:sz="4" w:space="0" w:color="auto"/>
              <w:right w:val="single" w:sz="4" w:space="0" w:color="auto"/>
            </w:tcBorders>
            <w:vAlign w:val="center"/>
          </w:tcPr>
          <w:p w:rsidR="0075618D" w:rsidRPr="002E3706" w:rsidRDefault="002E3706" w:rsidP="002E3706">
            <w:pPr>
              <w:tabs>
                <w:tab w:val="left" w:pos="4455"/>
              </w:tabs>
              <w:jc w:val="both"/>
              <w:rPr>
                <w:bCs/>
              </w:rPr>
            </w:pPr>
            <w:r w:rsidRPr="002E3706">
              <w:rPr>
                <w:bCs/>
              </w:rPr>
              <w:t xml:space="preserve">Divisione equilibrata dei carichi di lavoro all’interno dello staff progettuale in considerazione di competenze specifiche e carichi derivanti dalle altre attività presidiate. Eventuali ritardi sono accettabili nella misura in cui la mancata formalizzazione non impedisce che siano svolti dal </w:t>
            </w:r>
            <w:r>
              <w:rPr>
                <w:bCs/>
              </w:rPr>
              <w:t>PM</w:t>
            </w:r>
            <w:r w:rsidRPr="002E3706">
              <w:rPr>
                <w:bCs/>
              </w:rPr>
              <w:t xml:space="preserve"> compiti di  presidio organizzativo e scientifico dell’implementazione del progetto</w:t>
            </w:r>
          </w:p>
        </w:tc>
      </w:tr>
      <w:tr w:rsidR="0075618D" w:rsidRPr="002E3706"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t>5.2 Development of quality assurance procedures</w:t>
            </w:r>
          </w:p>
          <w:p w:rsidR="0075618D" w:rsidRPr="00940794"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tcPr>
          <w:p w:rsidR="0075618D" w:rsidRPr="002E3706" w:rsidRDefault="002E3706" w:rsidP="002E3706">
            <w:pPr>
              <w:tabs>
                <w:tab w:val="left" w:pos="4455"/>
              </w:tabs>
              <w:jc w:val="both"/>
              <w:rPr>
                <w:bCs/>
              </w:rPr>
            </w:pPr>
            <w:r w:rsidRPr="002E3706">
              <w:rPr>
                <w:bCs/>
              </w:rPr>
              <w:t>Ritardo nella predisposizione dei Piani di monitoraggio e di valutazione del progetto</w:t>
            </w:r>
          </w:p>
        </w:tc>
        <w:tc>
          <w:tcPr>
            <w:tcW w:w="1571" w:type="dxa"/>
            <w:tcBorders>
              <w:top w:val="single" w:sz="4" w:space="0" w:color="auto"/>
              <w:left w:val="single" w:sz="4" w:space="0" w:color="auto"/>
              <w:bottom w:val="single" w:sz="4" w:space="0" w:color="auto"/>
              <w:right w:val="single" w:sz="4" w:space="0" w:color="auto"/>
            </w:tcBorders>
          </w:tcPr>
          <w:p w:rsidR="0075618D" w:rsidRPr="002E3706" w:rsidRDefault="002E3706" w:rsidP="008A2E39">
            <w:pPr>
              <w:tabs>
                <w:tab w:val="left" w:pos="4455"/>
              </w:tabs>
              <w:jc w:val="center"/>
              <w:rPr>
                <w:bCs/>
              </w:rPr>
            </w:pPr>
            <w:r w:rsidRPr="002E3706">
              <w:rPr>
                <w:bCs/>
              </w:rPr>
              <w:t>1</w:t>
            </w:r>
          </w:p>
        </w:tc>
        <w:tc>
          <w:tcPr>
            <w:tcW w:w="1559" w:type="dxa"/>
            <w:tcBorders>
              <w:top w:val="single" w:sz="4" w:space="0" w:color="auto"/>
              <w:left w:val="single" w:sz="4" w:space="0" w:color="auto"/>
              <w:bottom w:val="single" w:sz="4" w:space="0" w:color="auto"/>
              <w:right w:val="single" w:sz="4" w:space="0" w:color="auto"/>
            </w:tcBorders>
          </w:tcPr>
          <w:p w:rsidR="0075618D" w:rsidRPr="002E3706" w:rsidRDefault="002E3706" w:rsidP="008A2E39">
            <w:pPr>
              <w:tabs>
                <w:tab w:val="left" w:pos="4455"/>
              </w:tabs>
              <w:jc w:val="center"/>
              <w:rPr>
                <w:bCs/>
              </w:rPr>
            </w:pPr>
            <w:r w:rsidRPr="002E3706">
              <w:rPr>
                <w:bCs/>
              </w:rPr>
              <w:t>1</w:t>
            </w:r>
          </w:p>
        </w:tc>
        <w:tc>
          <w:tcPr>
            <w:tcW w:w="4602" w:type="dxa"/>
            <w:tcBorders>
              <w:top w:val="single" w:sz="4" w:space="0" w:color="auto"/>
              <w:left w:val="single" w:sz="4" w:space="0" w:color="auto"/>
              <w:bottom w:val="single" w:sz="4" w:space="0" w:color="auto"/>
              <w:right w:val="single" w:sz="4" w:space="0" w:color="auto"/>
            </w:tcBorders>
          </w:tcPr>
          <w:p w:rsidR="0075618D" w:rsidRPr="002E3706" w:rsidRDefault="002E3706" w:rsidP="002E3706">
            <w:pPr>
              <w:tabs>
                <w:tab w:val="left" w:pos="4455"/>
              </w:tabs>
              <w:jc w:val="both"/>
              <w:rPr>
                <w:bCs/>
              </w:rPr>
            </w:pPr>
            <w:r w:rsidRPr="002E3706">
              <w:rPr>
                <w:bCs/>
              </w:rPr>
              <w:t xml:space="preserve">Divisione equilibrata dei carichi di lavoro all’interno dello staff progettuale in considerazione di competenze specifiche e carichi derivanti dalle altre attività presidiate. Eventuali ritardi sono accettabili nella misura in cui la mancata formalizzazione non impedisce che siano svolti dal </w:t>
            </w:r>
            <w:r>
              <w:rPr>
                <w:bCs/>
              </w:rPr>
              <w:t>PM</w:t>
            </w:r>
            <w:r w:rsidRPr="002E3706">
              <w:rPr>
                <w:bCs/>
              </w:rPr>
              <w:t xml:space="preserve"> compiti di  presidio organizzativo e scientifico dell’implementazione del progetto</w:t>
            </w:r>
          </w:p>
        </w:tc>
      </w:tr>
      <w:tr w:rsidR="002E3706" w:rsidRPr="002E3706"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Pr="00940794" w:rsidRDefault="002E3706" w:rsidP="00A44D01">
            <w:pPr>
              <w:tabs>
                <w:tab w:val="left" w:pos="4455"/>
              </w:tabs>
              <w:rPr>
                <w:rFonts w:cstheme="minorHAnsi"/>
                <w:bCs/>
                <w:i/>
                <w:lang w:val="en-US"/>
              </w:rPr>
            </w:pPr>
            <w:r w:rsidRPr="00940794">
              <w:rPr>
                <w:rFonts w:cstheme="minorHAnsi"/>
                <w:b/>
                <w:bCs/>
                <w:i/>
                <w:lang w:val="en-US"/>
              </w:rPr>
              <w:t>5.3 Drafting Interim and Final Evaluation Report</w:t>
            </w:r>
          </w:p>
          <w:p w:rsidR="002E3706" w:rsidRPr="0088591E" w:rsidRDefault="002E3706"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Pr="002E3706" w:rsidRDefault="002E3706" w:rsidP="00A44D01">
            <w:pPr>
              <w:tabs>
                <w:tab w:val="left" w:pos="4455"/>
              </w:tabs>
              <w:rPr>
                <w:bCs/>
              </w:rPr>
            </w:pPr>
            <w:r w:rsidRPr="002E3706">
              <w:rPr>
                <w:bCs/>
              </w:rPr>
              <w:t>Ritardo nella redazione dei Rapporti</w:t>
            </w:r>
          </w:p>
        </w:tc>
        <w:tc>
          <w:tcPr>
            <w:tcW w:w="1571"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Pr="00860B72" w:rsidRDefault="002E3706" w:rsidP="00A44D01">
            <w:pPr>
              <w:tabs>
                <w:tab w:val="left" w:pos="4455"/>
              </w:tabs>
              <w:jc w:val="center"/>
              <w:rPr>
                <w:bCs/>
              </w:rPr>
            </w:pPr>
            <w:r w:rsidRPr="00860B72">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Pr="00860B72" w:rsidRDefault="008A2E39" w:rsidP="00A44D01">
            <w:pPr>
              <w:tabs>
                <w:tab w:val="left" w:pos="4455"/>
              </w:tabs>
              <w:jc w:val="center"/>
              <w:rPr>
                <w:bCs/>
              </w:rPr>
            </w:pPr>
            <w:r w:rsidRPr="00860B72">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Pr="002E3706" w:rsidRDefault="002E3706" w:rsidP="00A44D01">
            <w:pPr>
              <w:tabs>
                <w:tab w:val="left" w:pos="4455"/>
              </w:tabs>
              <w:jc w:val="both"/>
              <w:rPr>
                <w:bCs/>
              </w:rPr>
            </w:pPr>
            <w:r w:rsidRPr="002E3706">
              <w:rPr>
                <w:bCs/>
              </w:rPr>
              <w:t xml:space="preserve">Rischio contenuto attraverso l’azione di monitoraggio e valutazione in itinere cui viene dedicata una risorsa dello Staff </w:t>
            </w:r>
            <w:proofErr w:type="spellStart"/>
            <w:r w:rsidRPr="002E3706">
              <w:rPr>
                <w:bCs/>
              </w:rPr>
              <w:t>Inapp</w:t>
            </w:r>
            <w:proofErr w:type="spellEnd"/>
            <w:r w:rsidRPr="002E3706">
              <w:rPr>
                <w:bCs/>
              </w:rPr>
              <w:t xml:space="preserve"> in affiancamento al Coordinatore del Progetto.</w:t>
            </w:r>
          </w:p>
        </w:tc>
      </w:tr>
      <w:tr w:rsidR="0075618D" w:rsidRPr="0075618D" w:rsidTr="0075618D">
        <w:trPr>
          <w:jc w:val="center"/>
        </w:trPr>
        <w:tc>
          <w:tcPr>
            <w:tcW w:w="1450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75618D" w:rsidRPr="0075618D" w:rsidRDefault="0075618D" w:rsidP="0075618D">
            <w:pPr>
              <w:tabs>
                <w:tab w:val="left" w:pos="4455"/>
              </w:tabs>
              <w:rPr>
                <w:b/>
                <w:bCs/>
                <w:lang w:val="en-US"/>
              </w:rPr>
            </w:pPr>
            <w:r w:rsidRPr="0075618D">
              <w:rPr>
                <w:b/>
                <w:bCs/>
                <w:lang w:val="en-US"/>
              </w:rPr>
              <w:t>WP 6 - MANAGEMENT</w:t>
            </w:r>
          </w:p>
        </w:tc>
      </w:tr>
      <w:tr w:rsidR="0075618D" w:rsidRPr="008876E0"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t>6.1 Elaboration of a PM Plan and Technical Final Report</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vAlign w:val="center"/>
          </w:tcPr>
          <w:p w:rsidR="0075618D" w:rsidRPr="008876E0" w:rsidRDefault="008876E0" w:rsidP="0075618D">
            <w:pPr>
              <w:tabs>
                <w:tab w:val="left" w:pos="4455"/>
              </w:tabs>
              <w:rPr>
                <w:bCs/>
              </w:rPr>
            </w:pPr>
            <w:r w:rsidRPr="008876E0">
              <w:rPr>
                <w:bCs/>
              </w:rPr>
              <w:t>Ritardo nella predisposizione dei Piani di Qualità e di valutazione del rischio attuativo</w:t>
            </w:r>
          </w:p>
        </w:tc>
        <w:tc>
          <w:tcPr>
            <w:tcW w:w="1571" w:type="dxa"/>
            <w:tcBorders>
              <w:top w:val="single" w:sz="4" w:space="0" w:color="auto"/>
              <w:left w:val="single" w:sz="4" w:space="0" w:color="auto"/>
              <w:bottom w:val="single" w:sz="4" w:space="0" w:color="auto"/>
              <w:right w:val="single" w:sz="4" w:space="0" w:color="auto"/>
            </w:tcBorders>
            <w:vAlign w:val="center"/>
          </w:tcPr>
          <w:p w:rsidR="0075618D" w:rsidRPr="00860B72" w:rsidRDefault="008876E0" w:rsidP="002E3706">
            <w:pPr>
              <w:tabs>
                <w:tab w:val="left" w:pos="4455"/>
              </w:tabs>
              <w:jc w:val="center"/>
              <w:rPr>
                <w:bCs/>
                <w:lang w:val="en-US"/>
              </w:rPr>
            </w:pPr>
            <w:r w:rsidRPr="00860B72">
              <w:rPr>
                <w:bCs/>
                <w:lang w:val="en-US"/>
              </w:rPr>
              <w:t>1</w:t>
            </w:r>
          </w:p>
        </w:tc>
        <w:tc>
          <w:tcPr>
            <w:tcW w:w="1559" w:type="dxa"/>
            <w:tcBorders>
              <w:top w:val="single" w:sz="4" w:space="0" w:color="auto"/>
              <w:left w:val="single" w:sz="4" w:space="0" w:color="auto"/>
              <w:bottom w:val="single" w:sz="4" w:space="0" w:color="auto"/>
              <w:right w:val="single" w:sz="4" w:space="0" w:color="auto"/>
            </w:tcBorders>
            <w:vAlign w:val="center"/>
          </w:tcPr>
          <w:p w:rsidR="0075618D" w:rsidRPr="00860B72" w:rsidRDefault="008876E0" w:rsidP="002E3706">
            <w:pPr>
              <w:tabs>
                <w:tab w:val="left" w:pos="4455"/>
              </w:tabs>
              <w:jc w:val="center"/>
              <w:rPr>
                <w:bCs/>
                <w:lang w:val="en-US"/>
              </w:rPr>
            </w:pPr>
            <w:r w:rsidRPr="00860B72">
              <w:rPr>
                <w:bCs/>
                <w:lang w:val="en-US"/>
              </w:rPr>
              <w:t>1</w:t>
            </w:r>
          </w:p>
        </w:tc>
        <w:tc>
          <w:tcPr>
            <w:tcW w:w="4602" w:type="dxa"/>
            <w:tcBorders>
              <w:top w:val="single" w:sz="4" w:space="0" w:color="auto"/>
              <w:left w:val="single" w:sz="4" w:space="0" w:color="auto"/>
              <w:bottom w:val="single" w:sz="4" w:space="0" w:color="auto"/>
              <w:right w:val="single" w:sz="4" w:space="0" w:color="auto"/>
            </w:tcBorders>
            <w:vAlign w:val="center"/>
          </w:tcPr>
          <w:p w:rsidR="0075618D" w:rsidRPr="008876E0" w:rsidRDefault="008876E0" w:rsidP="008876E0">
            <w:pPr>
              <w:tabs>
                <w:tab w:val="left" w:pos="538"/>
                <w:tab w:val="left" w:pos="4455"/>
              </w:tabs>
              <w:ind w:left="34"/>
              <w:jc w:val="both"/>
              <w:rPr>
                <w:bCs/>
              </w:rPr>
            </w:pPr>
            <w:r w:rsidRPr="008876E0">
              <w:rPr>
                <w:bCs/>
              </w:rPr>
              <w:t xml:space="preserve">Divisione equilibrata dei carichi di lavoro all’interno dello staff progettuale in considerazione di competenze specifiche e carichi derivanti dalle altre attività presidiate. Eventuali ritardi sono accettabili nella misura in cui la mancata formalizzazione non impedisce che siano svolti dal </w:t>
            </w:r>
            <w:r>
              <w:rPr>
                <w:bCs/>
              </w:rPr>
              <w:t>PM</w:t>
            </w:r>
            <w:r w:rsidRPr="008876E0">
              <w:rPr>
                <w:bCs/>
              </w:rPr>
              <w:t xml:space="preserve"> compiti di controllo e presidio organizzativo dell’implementazione del </w:t>
            </w:r>
            <w:r w:rsidRPr="008876E0">
              <w:rPr>
                <w:bCs/>
              </w:rPr>
              <w:lastRenderedPageBreak/>
              <w:t>progetto</w:t>
            </w:r>
            <w:r>
              <w:rPr>
                <w:bCs/>
              </w:rPr>
              <w:t>.</w:t>
            </w:r>
          </w:p>
        </w:tc>
      </w:tr>
      <w:tr w:rsidR="0075618D" w:rsidRPr="008876E0"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lastRenderedPageBreak/>
              <w:t>6.2 Project coordination</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876E0" w:rsidRDefault="008876E0" w:rsidP="00B65511">
            <w:pPr>
              <w:tabs>
                <w:tab w:val="left" w:pos="4455"/>
              </w:tabs>
              <w:jc w:val="both"/>
              <w:rPr>
                <w:bCs/>
              </w:rPr>
            </w:pPr>
            <w:r w:rsidRPr="008876E0">
              <w:rPr>
                <w:bCs/>
              </w:rPr>
              <w:t>Non disponibilità dei Soggetti precedentemente coinvolti a proseguire nelle attività previste e proprie del Comitato di pilotaggio</w:t>
            </w:r>
          </w:p>
        </w:tc>
        <w:tc>
          <w:tcPr>
            <w:tcW w:w="1571"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60B72" w:rsidRDefault="008876E0" w:rsidP="002E3706">
            <w:pPr>
              <w:tabs>
                <w:tab w:val="left" w:pos="4455"/>
              </w:tabs>
              <w:jc w:val="center"/>
              <w:rPr>
                <w:bCs/>
              </w:rPr>
            </w:pPr>
            <w:r w:rsidRPr="00860B72">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60B72" w:rsidRDefault="008876E0" w:rsidP="002E3706">
            <w:pPr>
              <w:tabs>
                <w:tab w:val="left" w:pos="4455"/>
              </w:tabs>
              <w:jc w:val="center"/>
              <w:rPr>
                <w:bCs/>
              </w:rPr>
            </w:pPr>
            <w:r w:rsidRPr="00860B72">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2E3706" w:rsidRDefault="008876E0" w:rsidP="002E3706">
            <w:pPr>
              <w:tabs>
                <w:tab w:val="left" w:pos="4455"/>
              </w:tabs>
              <w:jc w:val="both"/>
              <w:rPr>
                <w:bCs/>
              </w:rPr>
            </w:pPr>
            <w:r w:rsidRPr="002E3706">
              <w:rPr>
                <w:bCs/>
              </w:rPr>
              <w:t xml:space="preserve">Rischio reso relativamente preoccupante, dal momento che le azioni progettuali, comprese quelle relative alla modalità di gestione e </w:t>
            </w:r>
            <w:proofErr w:type="spellStart"/>
            <w:r w:rsidRPr="002E3706">
              <w:rPr>
                <w:bCs/>
                <w:i/>
              </w:rPr>
              <w:t>governance</w:t>
            </w:r>
            <w:proofErr w:type="spellEnd"/>
            <w:r w:rsidRPr="002E3706">
              <w:rPr>
                <w:bCs/>
              </w:rPr>
              <w:t xml:space="preserve"> sono state preventivamente concordate. </w:t>
            </w:r>
          </w:p>
        </w:tc>
      </w:tr>
      <w:tr w:rsidR="0075618D" w:rsidRPr="008876E0" w:rsidTr="00A302CA">
        <w:trPr>
          <w:jc w:val="center"/>
        </w:trPr>
        <w:tc>
          <w:tcPr>
            <w:tcW w:w="3948"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t>6.3 Reporting</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shd w:val="clear" w:color="auto" w:fill="FFFF00"/>
            <w:vAlign w:val="center"/>
          </w:tcPr>
          <w:p w:rsidR="002E3706" w:rsidRDefault="002E3706" w:rsidP="00B65511">
            <w:pPr>
              <w:tabs>
                <w:tab w:val="left" w:pos="4455"/>
              </w:tabs>
              <w:jc w:val="both"/>
              <w:rPr>
                <w:bCs/>
              </w:rPr>
            </w:pPr>
            <w:r w:rsidRPr="002E3706">
              <w:rPr>
                <w:bCs/>
              </w:rPr>
              <w:t xml:space="preserve">Procedure amministrative complesse e time </w:t>
            </w:r>
            <w:proofErr w:type="spellStart"/>
            <w:r w:rsidRPr="002E3706">
              <w:rPr>
                <w:bCs/>
              </w:rPr>
              <w:t>consuming</w:t>
            </w:r>
            <w:proofErr w:type="spellEnd"/>
            <w:r w:rsidRPr="002E3706">
              <w:rPr>
                <w:bCs/>
              </w:rPr>
              <w:t>, che ritardano la disponibilità del dato amministrativo</w:t>
            </w:r>
          </w:p>
          <w:p w:rsidR="002E3706" w:rsidRDefault="002E3706" w:rsidP="00B65511">
            <w:pPr>
              <w:tabs>
                <w:tab w:val="left" w:pos="4455"/>
              </w:tabs>
              <w:jc w:val="both"/>
              <w:rPr>
                <w:bCs/>
              </w:rPr>
            </w:pPr>
          </w:p>
          <w:p w:rsidR="0075618D" w:rsidRPr="008876E0" w:rsidRDefault="008876E0" w:rsidP="00B65511">
            <w:pPr>
              <w:tabs>
                <w:tab w:val="left" w:pos="4455"/>
              </w:tabs>
              <w:jc w:val="both"/>
              <w:rPr>
                <w:bCs/>
              </w:rPr>
            </w:pPr>
            <w:r w:rsidRPr="008876E0">
              <w:rPr>
                <w:bCs/>
              </w:rPr>
              <w:t>Ritardo nella redazione dei Rapporti</w:t>
            </w:r>
          </w:p>
        </w:tc>
        <w:tc>
          <w:tcPr>
            <w:tcW w:w="1571"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60B72" w:rsidRDefault="008876E0" w:rsidP="002E3706">
            <w:pPr>
              <w:tabs>
                <w:tab w:val="left" w:pos="4455"/>
              </w:tabs>
              <w:jc w:val="center"/>
              <w:rPr>
                <w:bCs/>
              </w:rPr>
            </w:pPr>
            <w:r w:rsidRPr="00860B72">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Pr="00860B72" w:rsidRDefault="002E3706" w:rsidP="002E3706">
            <w:pPr>
              <w:tabs>
                <w:tab w:val="left" w:pos="4455"/>
              </w:tabs>
              <w:jc w:val="center"/>
              <w:rPr>
                <w:bCs/>
              </w:rPr>
            </w:pPr>
            <w:r w:rsidRPr="00860B72">
              <w:rPr>
                <w:bCs/>
              </w:rPr>
              <w:t>3</w:t>
            </w:r>
          </w:p>
        </w:tc>
        <w:tc>
          <w:tcPr>
            <w:tcW w:w="4602" w:type="dxa"/>
            <w:tcBorders>
              <w:top w:val="single" w:sz="4" w:space="0" w:color="auto"/>
              <w:left w:val="single" w:sz="4" w:space="0" w:color="auto"/>
              <w:bottom w:val="single" w:sz="4" w:space="0" w:color="auto"/>
              <w:right w:val="single" w:sz="4" w:space="0" w:color="auto"/>
            </w:tcBorders>
            <w:shd w:val="clear" w:color="auto" w:fill="FFFF00"/>
            <w:vAlign w:val="center"/>
          </w:tcPr>
          <w:p w:rsidR="0075618D" w:rsidRDefault="008876E0" w:rsidP="002E3706">
            <w:pPr>
              <w:tabs>
                <w:tab w:val="left" w:pos="4455"/>
              </w:tabs>
              <w:jc w:val="both"/>
              <w:rPr>
                <w:bCs/>
              </w:rPr>
            </w:pPr>
            <w:r w:rsidRPr="002E3706">
              <w:rPr>
                <w:bCs/>
              </w:rPr>
              <w:t xml:space="preserve">Rischio contenuto attraverso l’azione di monitoraggio e valutazione in itinere cui viene dedicata una risorsa dello Staff </w:t>
            </w:r>
            <w:proofErr w:type="spellStart"/>
            <w:r w:rsidRPr="002E3706">
              <w:rPr>
                <w:bCs/>
              </w:rPr>
              <w:t>Inapp</w:t>
            </w:r>
            <w:proofErr w:type="spellEnd"/>
            <w:r w:rsidRPr="002E3706">
              <w:rPr>
                <w:bCs/>
              </w:rPr>
              <w:t xml:space="preserve"> in affiancamento al </w:t>
            </w:r>
            <w:r w:rsidR="002E3706">
              <w:rPr>
                <w:bCs/>
              </w:rPr>
              <w:t>PM</w:t>
            </w:r>
            <w:r w:rsidRPr="002E3706">
              <w:rPr>
                <w:bCs/>
              </w:rPr>
              <w:t>.</w:t>
            </w:r>
          </w:p>
          <w:p w:rsidR="002E3706" w:rsidRDefault="002E3706" w:rsidP="002E3706">
            <w:pPr>
              <w:tabs>
                <w:tab w:val="left" w:pos="4455"/>
              </w:tabs>
              <w:jc w:val="both"/>
              <w:rPr>
                <w:bCs/>
              </w:rPr>
            </w:pPr>
          </w:p>
          <w:p w:rsidR="002E3706" w:rsidRDefault="002E3706" w:rsidP="002E3706">
            <w:pPr>
              <w:tabs>
                <w:tab w:val="left" w:pos="4455"/>
              </w:tabs>
              <w:jc w:val="both"/>
              <w:rPr>
                <w:bCs/>
              </w:rPr>
            </w:pPr>
            <w:r>
              <w:rPr>
                <w:bCs/>
              </w:rPr>
              <w:t>M</w:t>
            </w:r>
            <w:r w:rsidRPr="002E3706">
              <w:rPr>
                <w:bCs/>
              </w:rPr>
              <w:t>embri dello staff</w:t>
            </w:r>
            <w:r>
              <w:rPr>
                <w:bCs/>
              </w:rPr>
              <w:t xml:space="preserve"> INAPP</w:t>
            </w:r>
            <w:r w:rsidRPr="002E3706">
              <w:rPr>
                <w:bCs/>
              </w:rPr>
              <w:t xml:space="preserve"> di progetto  appartengono ai servizi amministrativi, di rendicontazione e di gestione contabile dell’</w:t>
            </w:r>
            <w:proofErr w:type="spellStart"/>
            <w:r w:rsidRPr="002E3706">
              <w:rPr>
                <w:bCs/>
              </w:rPr>
              <w:t>I</w:t>
            </w:r>
            <w:r>
              <w:rPr>
                <w:bCs/>
              </w:rPr>
              <w:t>napp</w:t>
            </w:r>
            <w:proofErr w:type="spellEnd"/>
            <w:r w:rsidRPr="002E3706">
              <w:rPr>
                <w:bCs/>
              </w:rPr>
              <w:t xml:space="preserve">, assicurando una rapida acquisizione dei dati e/o, laddove si verificasse, una immediata identificazione del rischio di ritardo. </w:t>
            </w:r>
            <w:r>
              <w:rPr>
                <w:bCs/>
              </w:rPr>
              <w:t>Ogni Beneficiario Partner individua referenti amministrativi in grado di assicurare il corretto flusso informativo.</w:t>
            </w:r>
          </w:p>
          <w:p w:rsidR="002E3706" w:rsidRDefault="002E3706" w:rsidP="002E3706">
            <w:pPr>
              <w:tabs>
                <w:tab w:val="left" w:pos="4455"/>
              </w:tabs>
              <w:jc w:val="both"/>
              <w:rPr>
                <w:bCs/>
              </w:rPr>
            </w:pPr>
          </w:p>
          <w:p w:rsidR="002E3706" w:rsidRPr="002E3706" w:rsidRDefault="002E3706" w:rsidP="002E3706">
            <w:pPr>
              <w:tabs>
                <w:tab w:val="left" w:pos="4455"/>
              </w:tabs>
              <w:jc w:val="both"/>
              <w:rPr>
                <w:bCs/>
              </w:rPr>
            </w:pPr>
            <w:r>
              <w:rPr>
                <w:bCs/>
              </w:rPr>
              <w:t xml:space="preserve">Anticipazione dei processi di raccolta della documentazione amministrativa e periodizzazione dei controlli e dei </w:t>
            </w:r>
            <w:proofErr w:type="spellStart"/>
            <w:r>
              <w:rPr>
                <w:bCs/>
              </w:rPr>
              <w:t>checks</w:t>
            </w:r>
            <w:proofErr w:type="spellEnd"/>
            <w:r>
              <w:rPr>
                <w:bCs/>
              </w:rPr>
              <w:t xml:space="preserve"> finanziari/amministrativi.</w:t>
            </w:r>
          </w:p>
        </w:tc>
      </w:tr>
      <w:tr w:rsidR="0075618D" w:rsidRPr="008876E0" w:rsidTr="00A302CA">
        <w:trPr>
          <w:jc w:val="center"/>
        </w:trPr>
        <w:tc>
          <w:tcPr>
            <w:tcW w:w="3948" w:type="dxa"/>
            <w:tcBorders>
              <w:top w:val="single" w:sz="4" w:space="0" w:color="auto"/>
              <w:left w:val="single" w:sz="4" w:space="0" w:color="auto"/>
              <w:bottom w:val="single" w:sz="4" w:space="0" w:color="auto"/>
              <w:right w:val="single" w:sz="4" w:space="0" w:color="auto"/>
            </w:tcBorders>
            <w:vAlign w:val="center"/>
          </w:tcPr>
          <w:p w:rsidR="0075618D" w:rsidRPr="00940794" w:rsidRDefault="0075618D" w:rsidP="00A44D01">
            <w:pPr>
              <w:tabs>
                <w:tab w:val="left" w:pos="4455"/>
              </w:tabs>
              <w:rPr>
                <w:rFonts w:cstheme="minorHAnsi"/>
                <w:bCs/>
                <w:i/>
                <w:lang w:val="en-US"/>
              </w:rPr>
            </w:pPr>
            <w:r w:rsidRPr="00940794">
              <w:rPr>
                <w:rFonts w:cstheme="minorHAnsi"/>
                <w:b/>
                <w:bCs/>
                <w:i/>
                <w:lang w:val="en-US"/>
              </w:rPr>
              <w:t>6.4 Steering Committee meetings</w:t>
            </w:r>
          </w:p>
          <w:p w:rsidR="0075618D" w:rsidRPr="0088591E" w:rsidRDefault="0075618D" w:rsidP="00A44D01">
            <w:pPr>
              <w:tabs>
                <w:tab w:val="left" w:pos="4455"/>
              </w:tabs>
              <w:rPr>
                <w:rFonts w:cstheme="minorHAnsi"/>
                <w:bCs/>
                <w:i/>
                <w:lang w:val="en-US"/>
              </w:rPr>
            </w:pPr>
          </w:p>
        </w:tc>
        <w:tc>
          <w:tcPr>
            <w:tcW w:w="2823" w:type="dxa"/>
            <w:tcBorders>
              <w:top w:val="single" w:sz="4" w:space="0" w:color="auto"/>
              <w:left w:val="single" w:sz="4" w:space="0" w:color="auto"/>
              <w:bottom w:val="single" w:sz="4" w:space="0" w:color="auto"/>
              <w:right w:val="single" w:sz="4" w:space="0" w:color="auto"/>
            </w:tcBorders>
            <w:vAlign w:val="center"/>
          </w:tcPr>
          <w:p w:rsidR="0075618D" w:rsidRPr="008876E0" w:rsidRDefault="008876E0" w:rsidP="0075618D">
            <w:pPr>
              <w:tabs>
                <w:tab w:val="left" w:pos="4455"/>
              </w:tabs>
              <w:rPr>
                <w:bCs/>
              </w:rPr>
            </w:pPr>
            <w:r w:rsidRPr="008876E0">
              <w:rPr>
                <w:bCs/>
              </w:rPr>
              <w:t>Indisponibilità dei membri a riunirsi</w:t>
            </w:r>
          </w:p>
        </w:tc>
        <w:tc>
          <w:tcPr>
            <w:tcW w:w="1571" w:type="dxa"/>
            <w:tcBorders>
              <w:top w:val="single" w:sz="4" w:space="0" w:color="auto"/>
              <w:left w:val="single" w:sz="4" w:space="0" w:color="auto"/>
              <w:bottom w:val="single" w:sz="4" w:space="0" w:color="auto"/>
              <w:right w:val="single" w:sz="4" w:space="0" w:color="auto"/>
            </w:tcBorders>
            <w:vAlign w:val="center"/>
          </w:tcPr>
          <w:p w:rsidR="0075618D" w:rsidRPr="00860B72" w:rsidRDefault="008876E0" w:rsidP="002E3706">
            <w:pPr>
              <w:tabs>
                <w:tab w:val="left" w:pos="4455"/>
              </w:tabs>
              <w:jc w:val="center"/>
              <w:rPr>
                <w:bCs/>
              </w:rPr>
            </w:pPr>
            <w:r w:rsidRPr="00860B72">
              <w:rPr>
                <w:bCs/>
              </w:rPr>
              <w:t>2</w:t>
            </w:r>
          </w:p>
        </w:tc>
        <w:tc>
          <w:tcPr>
            <w:tcW w:w="1559" w:type="dxa"/>
            <w:tcBorders>
              <w:top w:val="single" w:sz="4" w:space="0" w:color="auto"/>
              <w:left w:val="single" w:sz="4" w:space="0" w:color="auto"/>
              <w:bottom w:val="single" w:sz="4" w:space="0" w:color="auto"/>
              <w:right w:val="single" w:sz="4" w:space="0" w:color="auto"/>
            </w:tcBorders>
            <w:vAlign w:val="center"/>
          </w:tcPr>
          <w:p w:rsidR="0075618D" w:rsidRPr="00860B72" w:rsidRDefault="008876E0" w:rsidP="002E3706">
            <w:pPr>
              <w:tabs>
                <w:tab w:val="left" w:pos="4455"/>
              </w:tabs>
              <w:jc w:val="center"/>
              <w:rPr>
                <w:bCs/>
              </w:rPr>
            </w:pPr>
            <w:r w:rsidRPr="00860B72">
              <w:rPr>
                <w:bCs/>
              </w:rPr>
              <w:t>2</w:t>
            </w:r>
          </w:p>
        </w:tc>
        <w:tc>
          <w:tcPr>
            <w:tcW w:w="4602" w:type="dxa"/>
            <w:tcBorders>
              <w:top w:val="single" w:sz="4" w:space="0" w:color="auto"/>
              <w:left w:val="single" w:sz="4" w:space="0" w:color="auto"/>
              <w:bottom w:val="single" w:sz="4" w:space="0" w:color="auto"/>
              <w:right w:val="single" w:sz="4" w:space="0" w:color="auto"/>
            </w:tcBorders>
            <w:vAlign w:val="center"/>
          </w:tcPr>
          <w:p w:rsidR="008876E0" w:rsidRDefault="008876E0" w:rsidP="008876E0">
            <w:pPr>
              <w:tabs>
                <w:tab w:val="left" w:pos="1177"/>
              </w:tabs>
              <w:jc w:val="both"/>
              <w:rPr>
                <w:bCs/>
              </w:rPr>
            </w:pPr>
            <w:r w:rsidRPr="008876E0">
              <w:rPr>
                <w:bCs/>
              </w:rPr>
              <w:t xml:space="preserve">Rischio reso relativamente preoccupante, dal momento che le azioni progettuali, comprese quelle relative alla modalità di gestione e </w:t>
            </w:r>
            <w:proofErr w:type="spellStart"/>
            <w:r w:rsidRPr="008876E0">
              <w:rPr>
                <w:bCs/>
              </w:rPr>
              <w:t>governance</w:t>
            </w:r>
            <w:proofErr w:type="spellEnd"/>
            <w:r w:rsidRPr="008876E0">
              <w:rPr>
                <w:bCs/>
              </w:rPr>
              <w:t xml:space="preserve"> sono state preventivamente concordate con dirigenti e funzionari provenienti dalle Amministrazioni  e dalle organizzazioni partner, con particolare riferimento alla </w:t>
            </w:r>
            <w:r w:rsidRPr="008876E0">
              <w:rPr>
                <w:bCs/>
              </w:rPr>
              <w:lastRenderedPageBreak/>
              <w:t xml:space="preserve">definizione del calendario. </w:t>
            </w:r>
          </w:p>
          <w:p w:rsidR="008876E0" w:rsidRPr="008876E0" w:rsidRDefault="008876E0" w:rsidP="008876E0">
            <w:pPr>
              <w:tabs>
                <w:tab w:val="left" w:pos="1177"/>
              </w:tabs>
              <w:jc w:val="both"/>
              <w:rPr>
                <w:bCs/>
              </w:rPr>
            </w:pPr>
            <w:r w:rsidRPr="008876E0">
              <w:rPr>
                <w:bCs/>
              </w:rPr>
              <w:t>L’organizzazione delle riunioni periodiche viene avviata con largo anticipo, proponendo non meno di tre date e orari diversi. Le riunioni vengono fissate in modo da contenere i tempi degli incontri.</w:t>
            </w:r>
          </w:p>
          <w:p w:rsidR="0075618D" w:rsidRPr="008876E0" w:rsidRDefault="008876E0" w:rsidP="008876E0">
            <w:pPr>
              <w:tabs>
                <w:tab w:val="left" w:pos="1177"/>
              </w:tabs>
              <w:jc w:val="both"/>
              <w:rPr>
                <w:bCs/>
              </w:rPr>
            </w:pPr>
            <w:r w:rsidRPr="008876E0">
              <w:rPr>
                <w:bCs/>
              </w:rPr>
              <w:t>In caso di estrema difficoltà, per assumere decisioni non rinviabili, si ricorre a procedura scritta (via mail).</w:t>
            </w:r>
          </w:p>
        </w:tc>
      </w:tr>
    </w:tbl>
    <w:p w:rsidR="0075618D" w:rsidRPr="008876E0" w:rsidRDefault="0075618D" w:rsidP="00980BAF">
      <w:pPr>
        <w:tabs>
          <w:tab w:val="left" w:pos="4455"/>
        </w:tabs>
        <w:rPr>
          <w:b/>
        </w:rPr>
      </w:pPr>
    </w:p>
    <w:p w:rsidR="0075618D" w:rsidRPr="000532BE" w:rsidRDefault="00F96A51" w:rsidP="00980BAF">
      <w:pPr>
        <w:tabs>
          <w:tab w:val="left" w:pos="4455"/>
        </w:tabs>
        <w:rPr>
          <w:b/>
          <w:sz w:val="20"/>
        </w:rPr>
      </w:pPr>
      <w:r w:rsidRPr="000532BE">
        <w:rPr>
          <w:b/>
          <w:sz w:val="20"/>
        </w:rPr>
        <w:t>Legenda</w:t>
      </w:r>
    </w:p>
    <w:p w:rsidR="00F96A51" w:rsidRPr="000532BE" w:rsidRDefault="000532BE" w:rsidP="00980BAF">
      <w:pPr>
        <w:tabs>
          <w:tab w:val="left" w:pos="4455"/>
        </w:tabs>
        <w:rPr>
          <w:sz w:val="18"/>
        </w:rPr>
      </w:pPr>
      <w:r w:rsidRPr="000532BE">
        <w:rPr>
          <w:sz w:val="18"/>
        </w:rPr>
        <w:t xml:space="preserve">Evidenziato </w:t>
      </w:r>
      <w:r w:rsidR="00F96A51" w:rsidRPr="000532BE">
        <w:rPr>
          <w:sz w:val="18"/>
        </w:rPr>
        <w:t xml:space="preserve">n </w:t>
      </w:r>
      <w:r w:rsidRPr="000532BE">
        <w:rPr>
          <w:sz w:val="18"/>
        </w:rPr>
        <w:t>arancione</w:t>
      </w:r>
      <w:r w:rsidR="00F96A51" w:rsidRPr="000532BE">
        <w:rPr>
          <w:sz w:val="18"/>
        </w:rPr>
        <w:t xml:space="preserve">: area di rischio </w:t>
      </w:r>
      <w:r w:rsidRPr="000532BE">
        <w:rPr>
          <w:sz w:val="18"/>
        </w:rPr>
        <w:t>di media magnitudo</w:t>
      </w:r>
    </w:p>
    <w:p w:rsidR="000532BE" w:rsidRPr="000532BE" w:rsidRDefault="000532BE" w:rsidP="00980BAF">
      <w:pPr>
        <w:tabs>
          <w:tab w:val="left" w:pos="4455"/>
        </w:tabs>
        <w:rPr>
          <w:sz w:val="18"/>
        </w:rPr>
      </w:pPr>
      <w:r w:rsidRPr="000532BE">
        <w:rPr>
          <w:sz w:val="18"/>
        </w:rPr>
        <w:t>Evidenziato in giallo: area di rischio di lieve magnitudo</w:t>
      </w:r>
    </w:p>
    <w:p w:rsidR="005F0CF9" w:rsidRPr="008876E0" w:rsidRDefault="005F0CF9" w:rsidP="00A52BDB">
      <w:pPr>
        <w:tabs>
          <w:tab w:val="left" w:pos="4455"/>
        </w:tabs>
      </w:pPr>
    </w:p>
    <w:tbl>
      <w:tblPr>
        <w:tblStyle w:val="Grigliatabella"/>
        <w:tblW w:w="0" w:type="auto"/>
        <w:tblLook w:val="04A0" w:firstRow="1" w:lastRow="0" w:firstColumn="1" w:lastColumn="0" w:noHBand="0" w:noVBand="1"/>
      </w:tblPr>
      <w:tblGrid>
        <w:gridCol w:w="5179"/>
        <w:gridCol w:w="5179"/>
        <w:gridCol w:w="5180"/>
      </w:tblGrid>
      <w:tr w:rsidR="00702DD0" w:rsidRPr="00702DD0" w:rsidTr="00DC41A5">
        <w:tc>
          <w:tcPr>
            <w:tcW w:w="5179" w:type="dxa"/>
          </w:tcPr>
          <w:p w:rsidR="00702DD0" w:rsidRPr="00702DD0" w:rsidRDefault="00702DD0" w:rsidP="00DC41A5">
            <w:pPr>
              <w:tabs>
                <w:tab w:val="left" w:pos="4455"/>
              </w:tabs>
              <w:jc w:val="center"/>
              <w:rPr>
                <w:b/>
                <w:lang w:val="en-US"/>
              </w:rPr>
            </w:pPr>
            <w:r w:rsidRPr="00702DD0">
              <w:rPr>
                <w:b/>
                <w:lang w:val="en-US"/>
              </w:rPr>
              <w:t>STAFF</w:t>
            </w:r>
          </w:p>
        </w:tc>
        <w:tc>
          <w:tcPr>
            <w:tcW w:w="5179" w:type="dxa"/>
          </w:tcPr>
          <w:p w:rsidR="00702DD0" w:rsidRPr="00702DD0" w:rsidRDefault="00702DD0" w:rsidP="00DC41A5">
            <w:pPr>
              <w:tabs>
                <w:tab w:val="left" w:pos="4455"/>
              </w:tabs>
              <w:jc w:val="center"/>
              <w:rPr>
                <w:b/>
                <w:lang w:val="en-US"/>
              </w:rPr>
            </w:pPr>
            <w:r w:rsidRPr="00702DD0">
              <w:rPr>
                <w:b/>
                <w:lang w:val="en-US"/>
              </w:rPr>
              <w:t>NOME</w:t>
            </w:r>
          </w:p>
        </w:tc>
        <w:tc>
          <w:tcPr>
            <w:tcW w:w="5180" w:type="dxa"/>
          </w:tcPr>
          <w:p w:rsidR="00702DD0" w:rsidRPr="00702DD0" w:rsidRDefault="00702DD0" w:rsidP="00DC41A5">
            <w:pPr>
              <w:tabs>
                <w:tab w:val="left" w:pos="4455"/>
              </w:tabs>
              <w:jc w:val="center"/>
              <w:rPr>
                <w:b/>
                <w:lang w:val="en-US"/>
              </w:rPr>
            </w:pPr>
            <w:r w:rsidRPr="00702DD0">
              <w:rPr>
                <w:b/>
                <w:lang w:val="en-US"/>
              </w:rPr>
              <w:t>FIRMA</w:t>
            </w:r>
          </w:p>
        </w:tc>
      </w:tr>
      <w:tr w:rsidR="00702DD0" w:rsidTr="00645752">
        <w:tc>
          <w:tcPr>
            <w:tcW w:w="5179" w:type="dxa"/>
            <w:vAlign w:val="center"/>
          </w:tcPr>
          <w:p w:rsidR="00645752" w:rsidRPr="00645752" w:rsidRDefault="00645752" w:rsidP="00645752">
            <w:pPr>
              <w:tabs>
                <w:tab w:val="left" w:pos="4455"/>
              </w:tabs>
              <w:jc w:val="center"/>
              <w:rPr>
                <w:b/>
                <w:lang w:val="en-US"/>
              </w:rPr>
            </w:pPr>
          </w:p>
          <w:p w:rsidR="00702DD0" w:rsidRPr="00645752" w:rsidRDefault="00702DD0" w:rsidP="00645752">
            <w:pPr>
              <w:tabs>
                <w:tab w:val="left" w:pos="4455"/>
              </w:tabs>
              <w:jc w:val="center"/>
              <w:rPr>
                <w:b/>
                <w:lang w:val="en-US"/>
              </w:rPr>
            </w:pPr>
            <w:proofErr w:type="spellStart"/>
            <w:r w:rsidRPr="00645752">
              <w:rPr>
                <w:b/>
                <w:lang w:val="en-US"/>
              </w:rPr>
              <w:t>Estensore</w:t>
            </w:r>
            <w:proofErr w:type="spellEnd"/>
            <w:r w:rsidRPr="00645752">
              <w:rPr>
                <w:b/>
                <w:lang w:val="en-US"/>
              </w:rPr>
              <w:t xml:space="preserve"> Piano</w:t>
            </w:r>
          </w:p>
          <w:p w:rsidR="00702DD0" w:rsidRPr="00645752" w:rsidRDefault="00702DD0" w:rsidP="00645752">
            <w:pPr>
              <w:tabs>
                <w:tab w:val="left" w:pos="4455"/>
              </w:tabs>
              <w:jc w:val="center"/>
              <w:rPr>
                <w:b/>
                <w:lang w:val="en-US"/>
              </w:rPr>
            </w:pPr>
          </w:p>
        </w:tc>
        <w:tc>
          <w:tcPr>
            <w:tcW w:w="5179" w:type="dxa"/>
            <w:vAlign w:val="center"/>
          </w:tcPr>
          <w:p w:rsidR="00702DD0" w:rsidRPr="00645752" w:rsidRDefault="004E6461" w:rsidP="00645752">
            <w:pPr>
              <w:tabs>
                <w:tab w:val="left" w:pos="4455"/>
              </w:tabs>
              <w:jc w:val="center"/>
              <w:rPr>
                <w:b/>
                <w:lang w:val="en-US"/>
              </w:rPr>
            </w:pPr>
            <w:r>
              <w:rPr>
                <w:b/>
                <w:lang w:val="en-US"/>
              </w:rPr>
              <w:t>Claudio Vitali</w:t>
            </w:r>
          </w:p>
        </w:tc>
        <w:tc>
          <w:tcPr>
            <w:tcW w:w="5180" w:type="dxa"/>
            <w:vAlign w:val="center"/>
          </w:tcPr>
          <w:p w:rsidR="00702DD0" w:rsidRDefault="00702DD0" w:rsidP="00DC41A5">
            <w:pPr>
              <w:tabs>
                <w:tab w:val="left" w:pos="4455"/>
              </w:tabs>
              <w:rPr>
                <w:lang w:val="en-US"/>
              </w:rPr>
            </w:pPr>
          </w:p>
        </w:tc>
      </w:tr>
      <w:tr w:rsidR="00702DD0" w:rsidTr="00645752">
        <w:tc>
          <w:tcPr>
            <w:tcW w:w="5179" w:type="dxa"/>
            <w:vAlign w:val="center"/>
          </w:tcPr>
          <w:p w:rsidR="00645752" w:rsidRPr="00645752" w:rsidRDefault="00645752" w:rsidP="00645752">
            <w:pPr>
              <w:tabs>
                <w:tab w:val="left" w:pos="4455"/>
              </w:tabs>
              <w:jc w:val="center"/>
              <w:rPr>
                <w:b/>
                <w:lang w:val="en-US"/>
              </w:rPr>
            </w:pPr>
          </w:p>
          <w:p w:rsidR="00702DD0" w:rsidRPr="00645752" w:rsidRDefault="00702DD0" w:rsidP="00645752">
            <w:pPr>
              <w:tabs>
                <w:tab w:val="left" w:pos="4455"/>
              </w:tabs>
              <w:jc w:val="center"/>
              <w:rPr>
                <w:b/>
                <w:lang w:val="en-US"/>
              </w:rPr>
            </w:pPr>
            <w:proofErr w:type="spellStart"/>
            <w:r w:rsidRPr="00645752">
              <w:rPr>
                <w:b/>
                <w:lang w:val="en-US"/>
              </w:rPr>
              <w:t>Responsabile</w:t>
            </w:r>
            <w:proofErr w:type="spellEnd"/>
            <w:r w:rsidRPr="00645752">
              <w:rPr>
                <w:b/>
                <w:lang w:val="en-US"/>
              </w:rPr>
              <w:t xml:space="preserve"> </w:t>
            </w:r>
            <w:proofErr w:type="spellStart"/>
            <w:r w:rsidRPr="00645752">
              <w:rPr>
                <w:b/>
                <w:lang w:val="en-US"/>
              </w:rPr>
              <w:t>Controllo</w:t>
            </w:r>
            <w:proofErr w:type="spellEnd"/>
            <w:r w:rsidRPr="00645752">
              <w:rPr>
                <w:b/>
                <w:lang w:val="en-US"/>
              </w:rPr>
              <w:t xml:space="preserve"> </w:t>
            </w:r>
            <w:proofErr w:type="spellStart"/>
            <w:r w:rsidRPr="00645752">
              <w:rPr>
                <w:b/>
                <w:lang w:val="en-US"/>
              </w:rPr>
              <w:t>periodico</w:t>
            </w:r>
            <w:proofErr w:type="spellEnd"/>
          </w:p>
          <w:p w:rsidR="00702DD0" w:rsidRPr="00645752" w:rsidRDefault="00702DD0" w:rsidP="00645752">
            <w:pPr>
              <w:tabs>
                <w:tab w:val="left" w:pos="4455"/>
              </w:tabs>
              <w:jc w:val="center"/>
              <w:rPr>
                <w:b/>
                <w:lang w:val="en-US"/>
              </w:rPr>
            </w:pPr>
          </w:p>
        </w:tc>
        <w:tc>
          <w:tcPr>
            <w:tcW w:w="5179" w:type="dxa"/>
            <w:vAlign w:val="center"/>
          </w:tcPr>
          <w:p w:rsidR="00702DD0" w:rsidRPr="00645752" w:rsidRDefault="004E6461" w:rsidP="00645752">
            <w:pPr>
              <w:tabs>
                <w:tab w:val="left" w:pos="4455"/>
              </w:tabs>
              <w:jc w:val="center"/>
              <w:rPr>
                <w:b/>
                <w:lang w:val="en-US"/>
              </w:rPr>
            </w:pPr>
            <w:r>
              <w:rPr>
                <w:b/>
                <w:lang w:val="en-US"/>
              </w:rPr>
              <w:t>Sveva Balduini</w:t>
            </w:r>
          </w:p>
        </w:tc>
        <w:tc>
          <w:tcPr>
            <w:tcW w:w="5180" w:type="dxa"/>
            <w:vAlign w:val="center"/>
          </w:tcPr>
          <w:p w:rsidR="00702DD0" w:rsidRDefault="00702DD0" w:rsidP="00DC41A5">
            <w:pPr>
              <w:tabs>
                <w:tab w:val="left" w:pos="4455"/>
              </w:tabs>
              <w:rPr>
                <w:lang w:val="en-US"/>
              </w:rPr>
            </w:pPr>
          </w:p>
        </w:tc>
      </w:tr>
      <w:tr w:rsidR="00702DD0" w:rsidTr="00645752">
        <w:tc>
          <w:tcPr>
            <w:tcW w:w="5179" w:type="dxa"/>
            <w:vAlign w:val="center"/>
          </w:tcPr>
          <w:p w:rsidR="00645752" w:rsidRPr="00645752" w:rsidRDefault="00645752" w:rsidP="00645752">
            <w:pPr>
              <w:tabs>
                <w:tab w:val="left" w:pos="4455"/>
              </w:tabs>
              <w:jc w:val="center"/>
              <w:rPr>
                <w:b/>
                <w:lang w:val="en-US"/>
              </w:rPr>
            </w:pPr>
          </w:p>
          <w:p w:rsidR="00702DD0" w:rsidRPr="00645752" w:rsidRDefault="00702DD0" w:rsidP="00645752">
            <w:pPr>
              <w:tabs>
                <w:tab w:val="left" w:pos="4455"/>
              </w:tabs>
              <w:jc w:val="center"/>
              <w:rPr>
                <w:b/>
                <w:lang w:val="en-US"/>
              </w:rPr>
            </w:pPr>
            <w:proofErr w:type="spellStart"/>
            <w:r w:rsidRPr="00645752">
              <w:rPr>
                <w:b/>
                <w:lang w:val="en-US"/>
              </w:rPr>
              <w:t>Responsabile</w:t>
            </w:r>
            <w:proofErr w:type="spellEnd"/>
            <w:r w:rsidRPr="00645752">
              <w:rPr>
                <w:b/>
                <w:lang w:val="en-US"/>
              </w:rPr>
              <w:t xml:space="preserve"> aggiornamento</w:t>
            </w:r>
          </w:p>
          <w:p w:rsidR="00702DD0" w:rsidRPr="00645752" w:rsidRDefault="00702DD0" w:rsidP="00645752">
            <w:pPr>
              <w:tabs>
                <w:tab w:val="left" w:pos="4455"/>
              </w:tabs>
              <w:jc w:val="center"/>
              <w:rPr>
                <w:b/>
                <w:lang w:val="en-US"/>
              </w:rPr>
            </w:pPr>
          </w:p>
        </w:tc>
        <w:tc>
          <w:tcPr>
            <w:tcW w:w="5179" w:type="dxa"/>
            <w:vAlign w:val="center"/>
          </w:tcPr>
          <w:p w:rsidR="00702DD0" w:rsidRPr="00645752" w:rsidRDefault="004E6461" w:rsidP="00645752">
            <w:pPr>
              <w:tabs>
                <w:tab w:val="left" w:pos="4455"/>
              </w:tabs>
              <w:jc w:val="center"/>
              <w:rPr>
                <w:b/>
                <w:lang w:val="en-US"/>
              </w:rPr>
            </w:pPr>
            <w:r>
              <w:rPr>
                <w:b/>
                <w:lang w:val="en-US"/>
              </w:rPr>
              <w:t>Claudio Vitali</w:t>
            </w:r>
          </w:p>
        </w:tc>
        <w:tc>
          <w:tcPr>
            <w:tcW w:w="5180" w:type="dxa"/>
            <w:vAlign w:val="center"/>
          </w:tcPr>
          <w:p w:rsidR="00702DD0" w:rsidRDefault="00702DD0" w:rsidP="00DC41A5">
            <w:pPr>
              <w:tabs>
                <w:tab w:val="left" w:pos="4455"/>
              </w:tabs>
              <w:rPr>
                <w:lang w:val="en-US"/>
              </w:rPr>
            </w:pPr>
          </w:p>
        </w:tc>
      </w:tr>
    </w:tbl>
    <w:p w:rsidR="00702DD0" w:rsidRDefault="00702DD0" w:rsidP="00702DD0">
      <w:pPr>
        <w:tabs>
          <w:tab w:val="left" w:pos="4455"/>
        </w:tabs>
        <w:rPr>
          <w:lang w:val="en-US"/>
        </w:rPr>
      </w:pPr>
    </w:p>
    <w:p w:rsidR="00702DD0" w:rsidRDefault="00702DD0" w:rsidP="00702DD0">
      <w:pPr>
        <w:tabs>
          <w:tab w:val="left" w:pos="4455"/>
        </w:tabs>
        <w:rPr>
          <w:lang w:val="en-US"/>
        </w:rPr>
      </w:pPr>
    </w:p>
    <w:p w:rsidR="00702DD0" w:rsidRDefault="00702DD0" w:rsidP="00702DD0">
      <w:pPr>
        <w:tabs>
          <w:tab w:val="left" w:pos="4455"/>
        </w:tabs>
        <w:rPr>
          <w:lang w:val="en-US"/>
        </w:rPr>
      </w:pPr>
      <w:r>
        <w:rPr>
          <w:lang w:val="en-US"/>
        </w:rPr>
        <w:t>Data</w:t>
      </w:r>
      <w:r w:rsidR="00B65511">
        <w:rPr>
          <w:lang w:val="en-US"/>
        </w:rPr>
        <w:t xml:space="preserve">, 16 </w:t>
      </w:r>
      <w:proofErr w:type="spellStart"/>
      <w:r w:rsidR="00B65511">
        <w:rPr>
          <w:lang w:val="en-US"/>
        </w:rPr>
        <w:t>luglio</w:t>
      </w:r>
      <w:proofErr w:type="spellEnd"/>
      <w:r w:rsidR="00B65511">
        <w:rPr>
          <w:lang w:val="en-US"/>
        </w:rPr>
        <w:t xml:space="preserve"> 2018</w:t>
      </w:r>
    </w:p>
    <w:sectPr w:rsidR="00702DD0" w:rsidSect="00A52BDB">
      <w:pgSz w:w="16838" w:h="11906" w:orient="landscape"/>
      <w:pgMar w:top="720" w:right="720" w:bottom="720" w:left="720" w:header="34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DC3" w:rsidRDefault="00907DC3" w:rsidP="00CE03BE">
      <w:r>
        <w:separator/>
      </w:r>
    </w:p>
  </w:endnote>
  <w:endnote w:type="continuationSeparator" w:id="0">
    <w:p w:rsidR="00907DC3" w:rsidRDefault="00907DC3" w:rsidP="00CE0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461" w:rsidRPr="00FD54E8" w:rsidRDefault="004E6461" w:rsidP="004E6461">
    <w:pPr>
      <w:pStyle w:val="NormaleWeb"/>
      <w:spacing w:before="0" w:after="0"/>
      <w:jc w:val="center"/>
      <w:rPr>
        <w:lang w:val="en-US"/>
      </w:rPr>
    </w:pPr>
    <w:r w:rsidRPr="00FD54E8">
      <w:rPr>
        <w:rFonts w:ascii="Helvetica" w:eastAsia="+mn-ea" w:hAnsi="Helvetica" w:cs="Helvetica"/>
        <w:b/>
        <w:bCs/>
        <w:color w:val="162064"/>
        <w:kern w:val="24"/>
        <w:szCs w:val="40"/>
        <w:lang w:val="en-US"/>
      </w:rPr>
      <w:t xml:space="preserve">E.QU.A.L. </w:t>
    </w:r>
  </w:p>
  <w:p w:rsidR="004E6461" w:rsidRPr="00FD54E8" w:rsidRDefault="004E6461" w:rsidP="004E6461">
    <w:pPr>
      <w:jc w:val="center"/>
      <w:rPr>
        <w:rFonts w:ascii="Times New Roman" w:eastAsia="Times New Roman" w:hAnsi="Times New Roman" w:cs="Times New Roman"/>
        <w:sz w:val="16"/>
        <w:szCs w:val="24"/>
        <w:lang w:val="en-US" w:eastAsia="it-IT"/>
      </w:rPr>
    </w:pPr>
    <w:r w:rsidRPr="00FD54E8">
      <w:rPr>
        <w:rFonts w:ascii="Helvetica" w:eastAsia="+mn-ea" w:hAnsi="Helvetica" w:cs="Helvetica"/>
        <w:b/>
        <w:bCs/>
        <w:color w:val="162064"/>
        <w:kern w:val="24"/>
        <w:szCs w:val="36"/>
        <w:lang w:val="en-US" w:eastAsia="it-IT"/>
      </w:rPr>
      <w:t>Enhancing Qualification of Adult Learners through the implementation of Upskilling pathways</w:t>
    </w:r>
  </w:p>
  <w:p w:rsidR="004E6461" w:rsidRPr="004E6461" w:rsidRDefault="004E6461" w:rsidP="004E6461">
    <w:pPr>
      <w:jc w:val="center"/>
      <w:rPr>
        <w:b/>
        <w:i/>
        <w:lang w:val="en-US"/>
      </w:rPr>
    </w:pPr>
    <w:proofErr w:type="spellStart"/>
    <w:r w:rsidRPr="00FD54E8">
      <w:rPr>
        <w:rFonts w:ascii="Helvetica" w:eastAsia="+mn-ea" w:hAnsi="Helvetica" w:cs="Helvetica"/>
        <w:color w:val="162064"/>
        <w:kern w:val="24"/>
        <w:sz w:val="14"/>
        <w:szCs w:val="21"/>
        <w:lang w:val="en-US" w:eastAsia="it-IT"/>
      </w:rPr>
      <w:t>EaSI</w:t>
    </w:r>
    <w:proofErr w:type="spellEnd"/>
    <w:r w:rsidRPr="00FD54E8">
      <w:rPr>
        <w:rFonts w:ascii="Helvetica" w:eastAsia="+mn-ea" w:hAnsi="Helvetica" w:cs="Helvetica"/>
        <w:color w:val="162064"/>
        <w:kern w:val="24"/>
        <w:sz w:val="14"/>
        <w:szCs w:val="21"/>
        <w:lang w:val="en-US" w:eastAsia="it-IT"/>
      </w:rPr>
      <w:t xml:space="preserve"> </w:t>
    </w:r>
    <w:proofErr w:type="spellStart"/>
    <w:r w:rsidRPr="00FD54E8">
      <w:rPr>
        <w:rFonts w:ascii="Helvetica" w:eastAsia="+mn-ea" w:hAnsi="Helvetica" w:cs="Helvetica"/>
        <w:color w:val="162064"/>
        <w:kern w:val="24"/>
        <w:sz w:val="14"/>
        <w:szCs w:val="21"/>
        <w:lang w:val="en-US" w:eastAsia="it-IT"/>
      </w:rPr>
      <w:t>programme</w:t>
    </w:r>
    <w:proofErr w:type="spellEnd"/>
    <w:r w:rsidRPr="00FD54E8">
      <w:rPr>
        <w:rFonts w:ascii="Helvetica" w:eastAsia="+mn-ea" w:hAnsi="Helvetica" w:cs="Helvetica"/>
        <w:color w:val="162064"/>
        <w:kern w:val="24"/>
        <w:sz w:val="14"/>
        <w:szCs w:val="21"/>
        <w:lang w:val="en-US" w:eastAsia="it-IT"/>
      </w:rPr>
      <w:t xml:space="preserve"> – Awareness-raising activities in Member States on “Upskilling Pathways: New Opportunities for Adults” - Call for proposals VP/2017/011</w:t>
    </w:r>
  </w:p>
  <w:p w:rsidR="00DC41A5" w:rsidRPr="004E6461" w:rsidRDefault="00DC41A5" w:rsidP="00C35C8D">
    <w:pPr>
      <w:pStyle w:val="Pidipagina"/>
      <w:jc w:val="center"/>
      <w:rPr>
        <w:b/>
        <w:i/>
        <w:lang w:val="en-US"/>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7379"/>
    </w:tblGrid>
    <w:tr w:rsidR="00DC41A5" w:rsidRPr="004E6461" w:rsidTr="00AF6067">
      <w:trPr>
        <w:jc w:val="center"/>
      </w:trPr>
      <w:tc>
        <w:tcPr>
          <w:tcW w:w="3227" w:type="dxa"/>
        </w:tcPr>
        <w:p w:rsidR="00DC41A5" w:rsidRPr="004E6461" w:rsidRDefault="00DC41A5" w:rsidP="00C35C8D">
          <w:pPr>
            <w:pStyle w:val="Pidipagina"/>
            <w:jc w:val="center"/>
            <w:rPr>
              <w:sz w:val="14"/>
              <w:lang w:val="en-US"/>
            </w:rPr>
          </w:pPr>
        </w:p>
      </w:tc>
      <w:tc>
        <w:tcPr>
          <w:tcW w:w="7379" w:type="dxa"/>
          <w:vAlign w:val="center"/>
        </w:tcPr>
        <w:p w:rsidR="00DC41A5" w:rsidRPr="004E6461" w:rsidRDefault="00DC41A5" w:rsidP="00C35C8D">
          <w:pPr>
            <w:pStyle w:val="Pidipagina"/>
            <w:jc w:val="center"/>
            <w:rPr>
              <w:sz w:val="14"/>
              <w:lang w:val="en-US"/>
            </w:rPr>
          </w:pPr>
        </w:p>
      </w:tc>
    </w:tr>
  </w:tbl>
  <w:p w:rsidR="00DC41A5" w:rsidRPr="004E6461" w:rsidRDefault="00DC41A5">
    <w:pPr>
      <w:pStyle w:val="Pidipagina"/>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DC3" w:rsidRDefault="00907DC3" w:rsidP="00CE03BE">
      <w:r>
        <w:separator/>
      </w:r>
    </w:p>
  </w:footnote>
  <w:footnote w:type="continuationSeparator" w:id="0">
    <w:p w:rsidR="00907DC3" w:rsidRDefault="00907DC3" w:rsidP="00CE0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393"/>
      <w:gridCol w:w="1889"/>
      <w:gridCol w:w="2016"/>
      <w:gridCol w:w="1148"/>
      <w:gridCol w:w="1255"/>
      <w:gridCol w:w="1460"/>
      <w:gridCol w:w="1521"/>
    </w:tblGrid>
    <w:tr w:rsidR="004E6461" w:rsidRPr="004E6461" w:rsidTr="00A44D01">
      <w:trPr>
        <w:trHeight w:val="714"/>
      </w:trPr>
      <w:tc>
        <w:tcPr>
          <w:tcW w:w="1515" w:type="dxa"/>
          <w:shd w:val="clear" w:color="auto" w:fill="auto"/>
        </w:tcPr>
        <w:p w:rsidR="004E6461" w:rsidRPr="004E6461" w:rsidRDefault="004E6461" w:rsidP="004E6461">
          <w:pPr>
            <w:pStyle w:val="Intestazione"/>
          </w:pPr>
          <w:r w:rsidRPr="004E6461">
            <w:drawing>
              <wp:inline distT="0" distB="0" distL="0" distR="0" wp14:anchorId="66C989EB" wp14:editId="5CBCE75E">
                <wp:extent cx="704850" cy="333375"/>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333375"/>
                        </a:xfrm>
                        <a:prstGeom prst="rect">
                          <a:avLst/>
                        </a:prstGeom>
                        <a:noFill/>
                        <a:ln>
                          <a:noFill/>
                        </a:ln>
                      </pic:spPr>
                    </pic:pic>
                  </a:graphicData>
                </a:graphic>
              </wp:inline>
            </w:drawing>
          </w:r>
        </w:p>
      </w:tc>
      <w:tc>
        <w:tcPr>
          <w:tcW w:w="1515" w:type="dxa"/>
          <w:shd w:val="clear" w:color="auto" w:fill="auto"/>
        </w:tcPr>
        <w:p w:rsidR="004E6461" w:rsidRPr="004E6461" w:rsidRDefault="004E6461" w:rsidP="004E6461">
          <w:pPr>
            <w:pStyle w:val="Intestazione"/>
          </w:pPr>
          <w:r w:rsidRPr="004E6461">
            <w:drawing>
              <wp:anchor distT="0" distB="0" distL="114300" distR="114300" simplePos="0" relativeHeight="251659264" behindDoc="0" locked="0" layoutInCell="1" allowOverlap="1" wp14:anchorId="5604E9AC" wp14:editId="1585543D">
                <wp:simplePos x="0" y="0"/>
                <wp:positionH relativeFrom="margin">
                  <wp:posOffset>1905</wp:posOffset>
                </wp:positionH>
                <wp:positionV relativeFrom="margin">
                  <wp:posOffset>71120</wp:posOffset>
                </wp:positionV>
                <wp:extent cx="1062355" cy="340995"/>
                <wp:effectExtent l="0" t="0" r="0" b="0"/>
                <wp:wrapSquare wrapText="bothSides"/>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355" cy="3409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515" w:type="dxa"/>
          <w:shd w:val="clear" w:color="auto" w:fill="auto"/>
        </w:tcPr>
        <w:p w:rsidR="004E6461" w:rsidRPr="004E6461" w:rsidRDefault="004E6461" w:rsidP="004E6461">
          <w:pPr>
            <w:pStyle w:val="Intestazione"/>
          </w:pPr>
          <w:r w:rsidRPr="004E6461">
            <w:drawing>
              <wp:inline distT="0" distB="0" distL="0" distR="0" wp14:anchorId="36FD5917" wp14:editId="304F9249">
                <wp:extent cx="1143000" cy="34290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342900"/>
                        </a:xfrm>
                        <a:prstGeom prst="rect">
                          <a:avLst/>
                        </a:prstGeom>
                        <a:noFill/>
                        <a:ln>
                          <a:noFill/>
                        </a:ln>
                      </pic:spPr>
                    </pic:pic>
                  </a:graphicData>
                </a:graphic>
              </wp:inline>
            </w:drawing>
          </w:r>
        </w:p>
      </w:tc>
      <w:tc>
        <w:tcPr>
          <w:tcW w:w="1515" w:type="dxa"/>
          <w:shd w:val="clear" w:color="auto" w:fill="auto"/>
        </w:tcPr>
        <w:p w:rsidR="004E6461" w:rsidRPr="004E6461" w:rsidRDefault="004E6461" w:rsidP="004E6461">
          <w:pPr>
            <w:pStyle w:val="Intestazione"/>
          </w:pPr>
          <w:r w:rsidRPr="004E6461">
            <w:drawing>
              <wp:inline distT="0" distB="0" distL="0" distR="0" wp14:anchorId="77ABC692" wp14:editId="13EDB6E5">
                <wp:extent cx="466725" cy="46672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1515" w:type="dxa"/>
          <w:shd w:val="clear" w:color="auto" w:fill="auto"/>
        </w:tcPr>
        <w:p w:rsidR="004E6461" w:rsidRPr="004E6461" w:rsidRDefault="004E6461" w:rsidP="004E6461">
          <w:pPr>
            <w:pStyle w:val="Intestazione"/>
          </w:pPr>
          <w:r w:rsidRPr="004E6461">
            <w:drawing>
              <wp:inline distT="0" distB="0" distL="0" distR="0" wp14:anchorId="218E1961" wp14:editId="63705BD4">
                <wp:extent cx="571500" cy="514350"/>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14350"/>
                        </a:xfrm>
                        <a:prstGeom prst="rect">
                          <a:avLst/>
                        </a:prstGeom>
                        <a:noFill/>
                        <a:ln>
                          <a:noFill/>
                        </a:ln>
                      </pic:spPr>
                    </pic:pic>
                  </a:graphicData>
                </a:graphic>
              </wp:inline>
            </w:drawing>
          </w:r>
        </w:p>
      </w:tc>
      <w:tc>
        <w:tcPr>
          <w:tcW w:w="1515" w:type="dxa"/>
          <w:shd w:val="clear" w:color="auto" w:fill="auto"/>
        </w:tcPr>
        <w:p w:rsidR="004E6461" w:rsidRPr="004E6461" w:rsidRDefault="004E6461" w:rsidP="004E6461">
          <w:pPr>
            <w:pStyle w:val="Intestazione"/>
          </w:pPr>
          <w:r w:rsidRPr="004E6461">
            <w:drawing>
              <wp:inline distT="0" distB="0" distL="0" distR="0" wp14:anchorId="687FB9B1" wp14:editId="0703A7CD">
                <wp:extent cx="771525" cy="314325"/>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314325"/>
                        </a:xfrm>
                        <a:prstGeom prst="rect">
                          <a:avLst/>
                        </a:prstGeom>
                        <a:noFill/>
                        <a:ln>
                          <a:noFill/>
                        </a:ln>
                      </pic:spPr>
                    </pic:pic>
                  </a:graphicData>
                </a:graphic>
              </wp:inline>
            </w:drawing>
          </w:r>
        </w:p>
      </w:tc>
      <w:tc>
        <w:tcPr>
          <w:tcW w:w="1516" w:type="dxa"/>
          <w:shd w:val="clear" w:color="auto" w:fill="auto"/>
        </w:tcPr>
        <w:p w:rsidR="004E6461" w:rsidRPr="004E6461" w:rsidRDefault="004E6461" w:rsidP="004E6461">
          <w:pPr>
            <w:pStyle w:val="Intestazione"/>
          </w:pPr>
          <w:r w:rsidRPr="004E6461">
            <w:drawing>
              <wp:inline distT="0" distB="0" distL="0" distR="0" wp14:anchorId="3249178D" wp14:editId="391938EA">
                <wp:extent cx="828675" cy="34290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342900"/>
                        </a:xfrm>
                        <a:prstGeom prst="rect">
                          <a:avLst/>
                        </a:prstGeom>
                        <a:noFill/>
                        <a:ln>
                          <a:noFill/>
                        </a:ln>
                      </pic:spPr>
                    </pic:pic>
                  </a:graphicData>
                </a:graphic>
              </wp:inline>
            </w:drawing>
          </w:r>
        </w:p>
      </w:tc>
    </w:tr>
  </w:tbl>
  <w:p w:rsidR="004E6461" w:rsidRPr="004E6461" w:rsidRDefault="004E6461" w:rsidP="004E6461">
    <w:pPr>
      <w:pStyle w:val="Intestazione"/>
    </w:pPr>
  </w:p>
  <w:p w:rsidR="00DC41A5" w:rsidRPr="004E6461" w:rsidRDefault="00DC41A5" w:rsidP="004E646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48DF"/>
    <w:multiLevelType w:val="hybridMultilevel"/>
    <w:tmpl w:val="C5DAC0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D4B444C"/>
    <w:multiLevelType w:val="hybridMultilevel"/>
    <w:tmpl w:val="D19034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1820EE5"/>
    <w:multiLevelType w:val="hybridMultilevel"/>
    <w:tmpl w:val="3ED6EF8E"/>
    <w:lvl w:ilvl="0" w:tplc="04100001">
      <w:start w:val="1"/>
      <w:numFmt w:val="bullet"/>
      <w:lvlText w:val=""/>
      <w:lvlJc w:val="left"/>
      <w:pPr>
        <w:ind w:left="720" w:hanging="360"/>
      </w:pPr>
      <w:rPr>
        <w:rFonts w:ascii="Symbol" w:hAnsi="Symbol" w:hint="default"/>
      </w:rPr>
    </w:lvl>
    <w:lvl w:ilvl="1" w:tplc="A9C095BE">
      <w:start w:val="7"/>
      <w:numFmt w:val="bullet"/>
      <w:lvlText w:val="•"/>
      <w:lvlJc w:val="left"/>
      <w:pPr>
        <w:ind w:left="1785" w:hanging="705"/>
      </w:pPr>
      <w:rPr>
        <w:rFonts w:ascii="Calibri" w:eastAsia="Times New Roman"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B1D7E73"/>
    <w:multiLevelType w:val="hybridMultilevel"/>
    <w:tmpl w:val="8F0AEB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656"/>
    <w:rsid w:val="000532BE"/>
    <w:rsid w:val="000A494E"/>
    <w:rsid w:val="000F0AF7"/>
    <w:rsid w:val="00131261"/>
    <w:rsid w:val="00134F0C"/>
    <w:rsid w:val="002115D3"/>
    <w:rsid w:val="002D194E"/>
    <w:rsid w:val="002E3706"/>
    <w:rsid w:val="003A32F8"/>
    <w:rsid w:val="003F2E5D"/>
    <w:rsid w:val="00435307"/>
    <w:rsid w:val="00461424"/>
    <w:rsid w:val="004626C3"/>
    <w:rsid w:val="00475656"/>
    <w:rsid w:val="004D2E30"/>
    <w:rsid w:val="004E6461"/>
    <w:rsid w:val="005C5FBE"/>
    <w:rsid w:val="005F0CF9"/>
    <w:rsid w:val="00601735"/>
    <w:rsid w:val="00644A9B"/>
    <w:rsid w:val="00645752"/>
    <w:rsid w:val="00684938"/>
    <w:rsid w:val="00695EC8"/>
    <w:rsid w:val="00702DD0"/>
    <w:rsid w:val="00705BE8"/>
    <w:rsid w:val="00707215"/>
    <w:rsid w:val="00753ED6"/>
    <w:rsid w:val="0075618D"/>
    <w:rsid w:val="007572EE"/>
    <w:rsid w:val="007E7B8F"/>
    <w:rsid w:val="00847331"/>
    <w:rsid w:val="00860B72"/>
    <w:rsid w:val="008876E0"/>
    <w:rsid w:val="008A2E39"/>
    <w:rsid w:val="008E5DE1"/>
    <w:rsid w:val="00907DC3"/>
    <w:rsid w:val="00980BAF"/>
    <w:rsid w:val="009D42FA"/>
    <w:rsid w:val="009E49CD"/>
    <w:rsid w:val="009F31F1"/>
    <w:rsid w:val="00A302CA"/>
    <w:rsid w:val="00A52BDB"/>
    <w:rsid w:val="00A66797"/>
    <w:rsid w:val="00AF6067"/>
    <w:rsid w:val="00B51E3A"/>
    <w:rsid w:val="00B65511"/>
    <w:rsid w:val="00B825DE"/>
    <w:rsid w:val="00BC1204"/>
    <w:rsid w:val="00BF033E"/>
    <w:rsid w:val="00C22493"/>
    <w:rsid w:val="00C35C8D"/>
    <w:rsid w:val="00C51EFA"/>
    <w:rsid w:val="00CB76E6"/>
    <w:rsid w:val="00CE03BE"/>
    <w:rsid w:val="00CE4E42"/>
    <w:rsid w:val="00D65D9B"/>
    <w:rsid w:val="00DC41A5"/>
    <w:rsid w:val="00E10CB5"/>
    <w:rsid w:val="00E8469F"/>
    <w:rsid w:val="00F62576"/>
    <w:rsid w:val="00F96A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18D"/>
  </w:style>
  <w:style w:type="paragraph" w:styleId="Titolo1">
    <w:name w:val="heading 1"/>
    <w:basedOn w:val="Normale"/>
    <w:next w:val="Normale"/>
    <w:link w:val="Titolo1Carattere"/>
    <w:uiPriority w:val="9"/>
    <w:qFormat/>
    <w:rsid w:val="008E5D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E03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03BE"/>
    <w:rPr>
      <w:rFonts w:ascii="Tahoma" w:hAnsi="Tahoma" w:cs="Tahoma"/>
      <w:sz w:val="16"/>
      <w:szCs w:val="16"/>
    </w:rPr>
  </w:style>
  <w:style w:type="paragraph" w:styleId="Intestazione">
    <w:name w:val="header"/>
    <w:basedOn w:val="Normale"/>
    <w:link w:val="IntestazioneCarattere"/>
    <w:uiPriority w:val="99"/>
    <w:unhideWhenUsed/>
    <w:rsid w:val="00CE03BE"/>
    <w:pPr>
      <w:tabs>
        <w:tab w:val="center" w:pos="4819"/>
        <w:tab w:val="right" w:pos="9638"/>
      </w:tabs>
    </w:pPr>
  </w:style>
  <w:style w:type="character" w:customStyle="1" w:styleId="IntestazioneCarattere">
    <w:name w:val="Intestazione Carattere"/>
    <w:basedOn w:val="Carpredefinitoparagrafo"/>
    <w:link w:val="Intestazione"/>
    <w:uiPriority w:val="99"/>
    <w:rsid w:val="00CE03BE"/>
  </w:style>
  <w:style w:type="paragraph" w:styleId="Pidipagina">
    <w:name w:val="footer"/>
    <w:basedOn w:val="Normale"/>
    <w:link w:val="PidipaginaCarattere"/>
    <w:uiPriority w:val="99"/>
    <w:unhideWhenUsed/>
    <w:rsid w:val="00CE03BE"/>
    <w:pPr>
      <w:tabs>
        <w:tab w:val="center" w:pos="4819"/>
        <w:tab w:val="right" w:pos="9638"/>
      </w:tabs>
    </w:pPr>
  </w:style>
  <w:style w:type="character" w:customStyle="1" w:styleId="PidipaginaCarattere">
    <w:name w:val="Piè di pagina Carattere"/>
    <w:basedOn w:val="Carpredefinitoparagrafo"/>
    <w:link w:val="Pidipagina"/>
    <w:uiPriority w:val="99"/>
    <w:rsid w:val="00CE03BE"/>
  </w:style>
  <w:style w:type="character" w:styleId="Collegamentoipertestuale">
    <w:name w:val="Hyperlink"/>
    <w:basedOn w:val="Carpredefinitoparagrafo"/>
    <w:uiPriority w:val="99"/>
    <w:unhideWhenUsed/>
    <w:rsid w:val="00705BE8"/>
    <w:rPr>
      <w:color w:val="0000FF" w:themeColor="hyperlink"/>
      <w:u w:val="single"/>
    </w:rPr>
  </w:style>
  <w:style w:type="table" w:styleId="Grigliatabella">
    <w:name w:val="Table Grid"/>
    <w:basedOn w:val="Tabellanormale"/>
    <w:uiPriority w:val="59"/>
    <w:rsid w:val="00C35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rsid w:val="00695EC8"/>
    <w:pPr>
      <w:spacing w:before="60"/>
      <w:jc w:val="both"/>
    </w:pPr>
    <w:rPr>
      <w:rFonts w:ascii="Times New Roman" w:eastAsia="Times New Roman" w:hAnsi="Times New Roman" w:cs="Times New Roman"/>
      <w:sz w:val="20"/>
      <w:szCs w:val="20"/>
      <w:lang w:eastAsia="it-IT"/>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stonotaapidipagina">
    <w:name w:val="footnote text"/>
    <w:basedOn w:val="Normale"/>
    <w:link w:val="TestonotaapidipaginaCarattere"/>
    <w:uiPriority w:val="99"/>
    <w:semiHidden/>
    <w:unhideWhenUsed/>
    <w:rsid w:val="00695EC8"/>
    <w:rPr>
      <w:sz w:val="20"/>
      <w:szCs w:val="20"/>
    </w:rPr>
  </w:style>
  <w:style w:type="character" w:customStyle="1" w:styleId="TestonotaapidipaginaCarattere">
    <w:name w:val="Testo nota a piè di pagina Carattere"/>
    <w:basedOn w:val="Carpredefinitoparagrafo"/>
    <w:link w:val="Testonotaapidipagina"/>
    <w:uiPriority w:val="99"/>
    <w:semiHidden/>
    <w:rsid w:val="00695EC8"/>
    <w:rPr>
      <w:sz w:val="20"/>
      <w:szCs w:val="20"/>
    </w:rPr>
  </w:style>
  <w:style w:type="character" w:styleId="Rimandonotaapidipagina">
    <w:name w:val="footnote reference"/>
    <w:basedOn w:val="Carpredefinitoparagrafo"/>
    <w:uiPriority w:val="99"/>
    <w:semiHidden/>
    <w:unhideWhenUsed/>
    <w:rsid w:val="00695EC8"/>
    <w:rPr>
      <w:vertAlign w:val="superscript"/>
    </w:rPr>
  </w:style>
  <w:style w:type="paragraph" w:styleId="Paragrafoelenco">
    <w:name w:val="List Paragraph"/>
    <w:basedOn w:val="Normale"/>
    <w:uiPriority w:val="34"/>
    <w:qFormat/>
    <w:rsid w:val="00D65D9B"/>
    <w:pPr>
      <w:ind w:left="720"/>
      <w:contextualSpacing/>
    </w:pPr>
  </w:style>
  <w:style w:type="paragraph" w:styleId="NormaleWeb">
    <w:name w:val="Normal (Web)"/>
    <w:basedOn w:val="Normale"/>
    <w:uiPriority w:val="99"/>
    <w:unhideWhenUsed/>
    <w:rsid w:val="004E6461"/>
    <w:pPr>
      <w:spacing w:before="78" w:after="78"/>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8E5DE1"/>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8E5DE1"/>
    <w:pPr>
      <w:spacing w:line="276" w:lineRule="auto"/>
      <w:outlineLvl w:val="9"/>
    </w:pPr>
    <w:rPr>
      <w:lang w:eastAsia="it-IT"/>
    </w:rPr>
  </w:style>
  <w:style w:type="paragraph" w:styleId="Sommario1">
    <w:name w:val="toc 1"/>
    <w:basedOn w:val="Normale"/>
    <w:next w:val="Normale"/>
    <w:autoRedefine/>
    <w:uiPriority w:val="39"/>
    <w:unhideWhenUsed/>
    <w:rsid w:val="008E5DE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618D"/>
  </w:style>
  <w:style w:type="paragraph" w:styleId="Titolo1">
    <w:name w:val="heading 1"/>
    <w:basedOn w:val="Normale"/>
    <w:next w:val="Normale"/>
    <w:link w:val="Titolo1Carattere"/>
    <w:uiPriority w:val="9"/>
    <w:qFormat/>
    <w:rsid w:val="008E5D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E03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03BE"/>
    <w:rPr>
      <w:rFonts w:ascii="Tahoma" w:hAnsi="Tahoma" w:cs="Tahoma"/>
      <w:sz w:val="16"/>
      <w:szCs w:val="16"/>
    </w:rPr>
  </w:style>
  <w:style w:type="paragraph" w:styleId="Intestazione">
    <w:name w:val="header"/>
    <w:basedOn w:val="Normale"/>
    <w:link w:val="IntestazioneCarattere"/>
    <w:uiPriority w:val="99"/>
    <w:unhideWhenUsed/>
    <w:rsid w:val="00CE03BE"/>
    <w:pPr>
      <w:tabs>
        <w:tab w:val="center" w:pos="4819"/>
        <w:tab w:val="right" w:pos="9638"/>
      </w:tabs>
    </w:pPr>
  </w:style>
  <w:style w:type="character" w:customStyle="1" w:styleId="IntestazioneCarattere">
    <w:name w:val="Intestazione Carattere"/>
    <w:basedOn w:val="Carpredefinitoparagrafo"/>
    <w:link w:val="Intestazione"/>
    <w:uiPriority w:val="99"/>
    <w:rsid w:val="00CE03BE"/>
  </w:style>
  <w:style w:type="paragraph" w:styleId="Pidipagina">
    <w:name w:val="footer"/>
    <w:basedOn w:val="Normale"/>
    <w:link w:val="PidipaginaCarattere"/>
    <w:uiPriority w:val="99"/>
    <w:unhideWhenUsed/>
    <w:rsid w:val="00CE03BE"/>
    <w:pPr>
      <w:tabs>
        <w:tab w:val="center" w:pos="4819"/>
        <w:tab w:val="right" w:pos="9638"/>
      </w:tabs>
    </w:pPr>
  </w:style>
  <w:style w:type="character" w:customStyle="1" w:styleId="PidipaginaCarattere">
    <w:name w:val="Piè di pagina Carattere"/>
    <w:basedOn w:val="Carpredefinitoparagrafo"/>
    <w:link w:val="Pidipagina"/>
    <w:uiPriority w:val="99"/>
    <w:rsid w:val="00CE03BE"/>
  </w:style>
  <w:style w:type="character" w:styleId="Collegamentoipertestuale">
    <w:name w:val="Hyperlink"/>
    <w:basedOn w:val="Carpredefinitoparagrafo"/>
    <w:uiPriority w:val="99"/>
    <w:unhideWhenUsed/>
    <w:rsid w:val="00705BE8"/>
    <w:rPr>
      <w:color w:val="0000FF" w:themeColor="hyperlink"/>
      <w:u w:val="single"/>
    </w:rPr>
  </w:style>
  <w:style w:type="table" w:styleId="Grigliatabella">
    <w:name w:val="Table Grid"/>
    <w:basedOn w:val="Tabellanormale"/>
    <w:uiPriority w:val="59"/>
    <w:rsid w:val="00C35C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rsid w:val="00695EC8"/>
    <w:pPr>
      <w:spacing w:before="60"/>
      <w:jc w:val="both"/>
    </w:pPr>
    <w:rPr>
      <w:rFonts w:ascii="Times New Roman" w:eastAsia="Times New Roman" w:hAnsi="Times New Roman" w:cs="Times New Roman"/>
      <w:sz w:val="20"/>
      <w:szCs w:val="20"/>
      <w:lang w:eastAsia="it-IT"/>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stonotaapidipagina">
    <w:name w:val="footnote text"/>
    <w:basedOn w:val="Normale"/>
    <w:link w:val="TestonotaapidipaginaCarattere"/>
    <w:uiPriority w:val="99"/>
    <w:semiHidden/>
    <w:unhideWhenUsed/>
    <w:rsid w:val="00695EC8"/>
    <w:rPr>
      <w:sz w:val="20"/>
      <w:szCs w:val="20"/>
    </w:rPr>
  </w:style>
  <w:style w:type="character" w:customStyle="1" w:styleId="TestonotaapidipaginaCarattere">
    <w:name w:val="Testo nota a piè di pagina Carattere"/>
    <w:basedOn w:val="Carpredefinitoparagrafo"/>
    <w:link w:val="Testonotaapidipagina"/>
    <w:uiPriority w:val="99"/>
    <w:semiHidden/>
    <w:rsid w:val="00695EC8"/>
    <w:rPr>
      <w:sz w:val="20"/>
      <w:szCs w:val="20"/>
    </w:rPr>
  </w:style>
  <w:style w:type="character" w:styleId="Rimandonotaapidipagina">
    <w:name w:val="footnote reference"/>
    <w:basedOn w:val="Carpredefinitoparagrafo"/>
    <w:uiPriority w:val="99"/>
    <w:semiHidden/>
    <w:unhideWhenUsed/>
    <w:rsid w:val="00695EC8"/>
    <w:rPr>
      <w:vertAlign w:val="superscript"/>
    </w:rPr>
  </w:style>
  <w:style w:type="paragraph" w:styleId="Paragrafoelenco">
    <w:name w:val="List Paragraph"/>
    <w:basedOn w:val="Normale"/>
    <w:uiPriority w:val="34"/>
    <w:qFormat/>
    <w:rsid w:val="00D65D9B"/>
    <w:pPr>
      <w:ind w:left="720"/>
      <w:contextualSpacing/>
    </w:pPr>
  </w:style>
  <w:style w:type="paragraph" w:styleId="NormaleWeb">
    <w:name w:val="Normal (Web)"/>
    <w:basedOn w:val="Normale"/>
    <w:uiPriority w:val="99"/>
    <w:unhideWhenUsed/>
    <w:rsid w:val="004E6461"/>
    <w:pPr>
      <w:spacing w:before="78" w:after="78"/>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8E5DE1"/>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8E5DE1"/>
    <w:pPr>
      <w:spacing w:line="276" w:lineRule="auto"/>
      <w:outlineLvl w:val="9"/>
    </w:pPr>
    <w:rPr>
      <w:lang w:eastAsia="it-IT"/>
    </w:rPr>
  </w:style>
  <w:style w:type="paragraph" w:styleId="Sommario1">
    <w:name w:val="toc 1"/>
    <w:basedOn w:val="Normale"/>
    <w:next w:val="Normale"/>
    <w:autoRedefine/>
    <w:uiPriority w:val="39"/>
    <w:unhideWhenUsed/>
    <w:rsid w:val="008E5DE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30C57-BB14-4ED3-9C5D-F2C0F1F1E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12</Pages>
  <Words>3515</Words>
  <Characters>20041</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 Claudio</dc:creator>
  <cp:lastModifiedBy>Vitali Claudio</cp:lastModifiedBy>
  <cp:revision>6</cp:revision>
  <dcterms:created xsi:type="dcterms:W3CDTF">2018-07-11T05:41:00Z</dcterms:created>
  <dcterms:modified xsi:type="dcterms:W3CDTF">2018-07-11T13:08:00Z</dcterms:modified>
</cp:coreProperties>
</file>